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EEF44" w14:textId="77777777" w:rsidR="000F11D8" w:rsidRPr="009D2372" w:rsidRDefault="000F11D8">
      <w:pPr>
        <w:spacing w:line="360" w:lineRule="auto"/>
        <w:jc w:val="both"/>
        <w:rPr>
          <w:b/>
          <w:bCs/>
        </w:rPr>
      </w:pPr>
    </w:p>
    <w:p w14:paraId="3E0A944F" w14:textId="710500BE" w:rsidR="000F11D8" w:rsidRDefault="00414DF5" w:rsidP="00414DF5">
      <w:pPr>
        <w:spacing w:line="360" w:lineRule="auto"/>
        <w:jc w:val="center"/>
        <w:rPr>
          <w:b/>
          <w:bCs/>
          <w:color w:val="000000"/>
          <w:sz w:val="32"/>
          <w:szCs w:val="32"/>
          <w:lang w:eastAsia="en-GB"/>
        </w:rPr>
      </w:pPr>
      <w:r w:rsidRPr="00414DF5">
        <w:rPr>
          <w:b/>
          <w:bCs/>
          <w:color w:val="000000"/>
          <w:sz w:val="32"/>
          <w:szCs w:val="32"/>
          <w:lang w:eastAsia="en-GB"/>
        </w:rPr>
        <w:t>Governing the Black Box: The EU AI Act, UK GDPR, and the Regulation of Automated Decision-Making in Financial Services by Rehan Mongia</w:t>
      </w:r>
    </w:p>
    <w:p w14:paraId="1979E5D1" w14:textId="77777777" w:rsidR="00414DF5" w:rsidRDefault="00414DF5">
      <w:pPr>
        <w:jc w:val="center"/>
        <w:rPr>
          <w:b/>
          <w:bCs/>
          <w:color w:val="000000"/>
          <w:sz w:val="32"/>
          <w:szCs w:val="32"/>
          <w:lang w:eastAsia="en-GB"/>
        </w:rPr>
      </w:pPr>
    </w:p>
    <w:p w14:paraId="5DF3EFB3" w14:textId="77777777" w:rsidR="00414DF5" w:rsidRDefault="00414DF5">
      <w:pPr>
        <w:jc w:val="center"/>
        <w:rPr>
          <w:b/>
          <w:bCs/>
          <w:color w:val="000000"/>
          <w:sz w:val="32"/>
          <w:szCs w:val="32"/>
          <w:lang w:eastAsia="en-GB"/>
        </w:rPr>
      </w:pPr>
    </w:p>
    <w:p w14:paraId="57183E77" w14:textId="77777777" w:rsidR="00414DF5" w:rsidRPr="009D2372" w:rsidRDefault="00414DF5">
      <w:pPr>
        <w:jc w:val="center"/>
      </w:pPr>
    </w:p>
    <w:p w14:paraId="36E86CD2" w14:textId="77777777" w:rsidR="000F11D8" w:rsidRPr="009D2372" w:rsidRDefault="00000000">
      <w:pPr>
        <w:jc w:val="center"/>
      </w:pPr>
      <w:r w:rsidRPr="009D2372">
        <w:rPr>
          <w:noProof/>
        </w:rPr>
        <w:drawing>
          <wp:inline distT="114300" distB="114300" distL="114300" distR="114300" wp14:anchorId="30B0BBB8" wp14:editId="071E3F97">
            <wp:extent cx="2417986" cy="2407518"/>
            <wp:effectExtent l="0" t="0" r="0" b="0"/>
            <wp:docPr id="2" name="image1.png" descr="A red circular logo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red circular logo with white text&#10;&#10;Description automatically generated"/>
                    <pic:cNvPicPr preferRelativeResize="0"/>
                  </pic:nvPicPr>
                  <pic:blipFill>
                    <a:blip r:embed="rId6"/>
                    <a:srcRect/>
                    <a:stretch>
                      <a:fillRect/>
                    </a:stretch>
                  </pic:blipFill>
                  <pic:spPr>
                    <a:xfrm>
                      <a:off x="0" y="0"/>
                      <a:ext cx="2417986" cy="2407518"/>
                    </a:xfrm>
                    <a:prstGeom prst="rect">
                      <a:avLst/>
                    </a:prstGeom>
                    <a:ln/>
                  </pic:spPr>
                </pic:pic>
              </a:graphicData>
            </a:graphic>
          </wp:inline>
        </w:drawing>
      </w:r>
    </w:p>
    <w:p w14:paraId="0DA39121" w14:textId="77777777" w:rsidR="000F11D8" w:rsidRPr="009D2372" w:rsidRDefault="000F11D8">
      <w:pPr>
        <w:rPr>
          <w:sz w:val="28"/>
          <w:szCs w:val="28"/>
        </w:rPr>
      </w:pPr>
    </w:p>
    <w:p w14:paraId="5703547C" w14:textId="77777777" w:rsidR="000F11D8" w:rsidRPr="009D2372" w:rsidRDefault="000F11D8">
      <w:pPr>
        <w:jc w:val="center"/>
        <w:rPr>
          <w:sz w:val="28"/>
          <w:szCs w:val="28"/>
        </w:rPr>
      </w:pPr>
    </w:p>
    <w:p w14:paraId="35CD0D69" w14:textId="77777777" w:rsidR="000F11D8" w:rsidRPr="009D2372" w:rsidRDefault="000F11D8">
      <w:pPr>
        <w:rPr>
          <w:sz w:val="28"/>
          <w:szCs w:val="28"/>
        </w:rPr>
      </w:pPr>
    </w:p>
    <w:p w14:paraId="1688525C" w14:textId="77777777" w:rsidR="000F11D8" w:rsidRPr="009D2372" w:rsidRDefault="000F11D8">
      <w:pPr>
        <w:rPr>
          <w:sz w:val="28"/>
          <w:szCs w:val="28"/>
        </w:rPr>
      </w:pPr>
    </w:p>
    <w:p w14:paraId="06CC4567" w14:textId="77777777" w:rsidR="000F11D8" w:rsidRPr="009D2372" w:rsidRDefault="000F11D8">
      <w:pPr>
        <w:rPr>
          <w:sz w:val="28"/>
          <w:szCs w:val="28"/>
        </w:rPr>
      </w:pPr>
    </w:p>
    <w:p w14:paraId="658F39D0" w14:textId="77777777" w:rsidR="000F11D8" w:rsidRPr="009D2372" w:rsidRDefault="00000000">
      <w:pPr>
        <w:jc w:val="center"/>
        <w:rPr>
          <w:sz w:val="28"/>
          <w:szCs w:val="28"/>
        </w:rPr>
      </w:pPr>
      <w:r w:rsidRPr="009D2372">
        <w:rPr>
          <w:sz w:val="28"/>
          <w:szCs w:val="28"/>
        </w:rPr>
        <w:t xml:space="preserve">King’s Policy Journal </w:t>
      </w:r>
    </w:p>
    <w:p w14:paraId="42A9BFA6" w14:textId="77777777" w:rsidR="000F11D8" w:rsidRPr="009D2372" w:rsidRDefault="000F11D8">
      <w:pPr>
        <w:jc w:val="center"/>
        <w:rPr>
          <w:sz w:val="28"/>
          <w:szCs w:val="28"/>
        </w:rPr>
      </w:pPr>
    </w:p>
    <w:p w14:paraId="052A0A0A" w14:textId="77777777" w:rsidR="000F11D8" w:rsidRPr="009D2372" w:rsidRDefault="00000000">
      <w:pPr>
        <w:jc w:val="center"/>
        <w:rPr>
          <w:sz w:val="28"/>
          <w:szCs w:val="28"/>
        </w:rPr>
      </w:pPr>
      <w:r w:rsidRPr="009D2372">
        <w:rPr>
          <w:sz w:val="28"/>
          <w:szCs w:val="28"/>
        </w:rPr>
        <w:t>KCL Policy Research Centre</w:t>
      </w:r>
    </w:p>
    <w:p w14:paraId="38CFE718" w14:textId="77777777" w:rsidR="000F11D8" w:rsidRPr="009D2372" w:rsidRDefault="000F11D8">
      <w:pPr>
        <w:jc w:val="center"/>
        <w:rPr>
          <w:sz w:val="28"/>
          <w:szCs w:val="28"/>
        </w:rPr>
      </w:pPr>
    </w:p>
    <w:p w14:paraId="1AE145CF" w14:textId="77E66C07" w:rsidR="000F11D8" w:rsidRPr="009D2372" w:rsidRDefault="00000000">
      <w:pPr>
        <w:jc w:val="center"/>
        <w:rPr>
          <w:sz w:val="28"/>
          <w:szCs w:val="28"/>
        </w:rPr>
      </w:pPr>
      <w:r w:rsidRPr="009D2372">
        <w:rPr>
          <w:sz w:val="28"/>
          <w:szCs w:val="28"/>
        </w:rPr>
        <w:t xml:space="preserve">Centre for </w:t>
      </w:r>
      <w:r w:rsidR="00980A09" w:rsidRPr="009D2372">
        <w:rPr>
          <w:sz w:val="28"/>
          <w:szCs w:val="28"/>
        </w:rPr>
        <w:t>Technology and</w:t>
      </w:r>
      <w:r w:rsidR="007053E9" w:rsidRPr="009D2372">
        <w:rPr>
          <w:sz w:val="28"/>
          <w:szCs w:val="28"/>
        </w:rPr>
        <w:t xml:space="preserve"> Artificial Intelligence</w:t>
      </w:r>
    </w:p>
    <w:p w14:paraId="4F3FD19E" w14:textId="77777777" w:rsidR="000F11D8" w:rsidRPr="009D2372" w:rsidRDefault="000F11D8">
      <w:pPr>
        <w:jc w:val="center"/>
        <w:rPr>
          <w:sz w:val="28"/>
          <w:szCs w:val="28"/>
        </w:rPr>
      </w:pPr>
    </w:p>
    <w:p w14:paraId="5E5975CF" w14:textId="6A246943" w:rsidR="000F11D8" w:rsidRPr="009D2372" w:rsidRDefault="00000000">
      <w:pPr>
        <w:jc w:val="center"/>
        <w:rPr>
          <w:sz w:val="28"/>
          <w:szCs w:val="28"/>
        </w:rPr>
      </w:pPr>
      <w:r w:rsidRPr="009D2372">
        <w:rPr>
          <w:sz w:val="28"/>
          <w:szCs w:val="28"/>
        </w:rPr>
        <w:t xml:space="preserve">Word Count: </w:t>
      </w:r>
      <w:r w:rsidR="00414DF5">
        <w:rPr>
          <w:sz w:val="28"/>
          <w:szCs w:val="28"/>
        </w:rPr>
        <w:t>1857</w:t>
      </w:r>
    </w:p>
    <w:p w14:paraId="2909771E" w14:textId="77777777" w:rsidR="000F11D8" w:rsidRPr="009D2372" w:rsidRDefault="000F11D8">
      <w:pPr>
        <w:jc w:val="center"/>
        <w:rPr>
          <w:sz w:val="28"/>
          <w:szCs w:val="28"/>
        </w:rPr>
      </w:pPr>
    </w:p>
    <w:p w14:paraId="6B2B8978" w14:textId="4560DEEE" w:rsidR="000F11D8" w:rsidRPr="009D2372" w:rsidRDefault="002E184F">
      <w:pPr>
        <w:jc w:val="center"/>
        <w:rPr>
          <w:sz w:val="28"/>
          <w:szCs w:val="28"/>
        </w:rPr>
      </w:pPr>
      <w:r w:rsidRPr="009D2372">
        <w:rPr>
          <w:sz w:val="28"/>
          <w:szCs w:val="28"/>
        </w:rPr>
        <w:t>May</w:t>
      </w:r>
      <w:r w:rsidR="00000000" w:rsidRPr="009D2372">
        <w:rPr>
          <w:sz w:val="28"/>
          <w:szCs w:val="28"/>
        </w:rPr>
        <w:t xml:space="preserve"> 2026</w:t>
      </w:r>
    </w:p>
    <w:p w14:paraId="0045BD0E" w14:textId="77777777" w:rsidR="000F11D8" w:rsidRPr="009D2372" w:rsidRDefault="000F11D8">
      <w:pPr>
        <w:spacing w:line="360" w:lineRule="auto"/>
        <w:ind w:firstLine="720"/>
        <w:jc w:val="both"/>
        <w:rPr>
          <w:b/>
          <w:bCs/>
        </w:rPr>
      </w:pPr>
    </w:p>
    <w:p w14:paraId="0E726A53" w14:textId="77777777" w:rsidR="000F11D8" w:rsidRPr="009D2372" w:rsidRDefault="000F11D8">
      <w:pPr>
        <w:spacing w:line="360" w:lineRule="auto"/>
        <w:ind w:firstLine="720"/>
        <w:jc w:val="both"/>
        <w:rPr>
          <w:b/>
          <w:bCs/>
        </w:rPr>
      </w:pPr>
    </w:p>
    <w:p w14:paraId="5665BA62" w14:textId="77777777" w:rsidR="000F11D8" w:rsidRPr="009D2372" w:rsidRDefault="000F11D8">
      <w:pPr>
        <w:spacing w:line="360" w:lineRule="auto"/>
        <w:ind w:firstLine="720"/>
        <w:jc w:val="both"/>
        <w:rPr>
          <w:b/>
          <w:bCs/>
        </w:rPr>
      </w:pPr>
    </w:p>
    <w:p w14:paraId="17AC2DB5" w14:textId="77777777" w:rsidR="000F11D8" w:rsidRPr="009D2372" w:rsidRDefault="000F11D8">
      <w:pPr>
        <w:spacing w:line="360" w:lineRule="auto"/>
        <w:ind w:firstLine="720"/>
        <w:jc w:val="both"/>
        <w:rPr>
          <w:b/>
          <w:bCs/>
        </w:rPr>
      </w:pPr>
    </w:p>
    <w:p w14:paraId="43623838" w14:textId="77777777" w:rsidR="000F11D8" w:rsidRPr="009D2372" w:rsidRDefault="000F11D8">
      <w:pPr>
        <w:spacing w:line="360" w:lineRule="auto"/>
        <w:ind w:firstLine="720"/>
        <w:jc w:val="both"/>
        <w:rPr>
          <w:b/>
          <w:bCs/>
        </w:rPr>
      </w:pPr>
    </w:p>
    <w:p w14:paraId="2A13906A" w14:textId="77777777" w:rsidR="000F11D8" w:rsidRPr="009D2372" w:rsidRDefault="000F11D8">
      <w:pPr>
        <w:spacing w:line="360" w:lineRule="auto"/>
        <w:ind w:firstLine="720"/>
        <w:jc w:val="both"/>
      </w:pPr>
    </w:p>
    <w:p w14:paraId="20031105" w14:textId="57C7214F" w:rsidR="000F11D8" w:rsidRPr="009D2372" w:rsidRDefault="000F11D8" w:rsidP="0092088D">
      <w:pPr>
        <w:pStyle w:val="NormalWeb"/>
        <w:spacing w:before="0" w:beforeAutospacing="0" w:after="0" w:afterAutospacing="0" w:line="480" w:lineRule="auto"/>
        <w:ind w:left="121" w:right="90"/>
        <w:jc w:val="center"/>
        <w:rPr>
          <w:color w:val="000000"/>
          <w:u w:val="single"/>
        </w:rPr>
      </w:pPr>
    </w:p>
    <w:p w14:paraId="0BA0228C" w14:textId="77777777" w:rsidR="00414DF5" w:rsidRDefault="00414DF5" w:rsidP="00414DF5"/>
    <w:p w14:paraId="195A1E11" w14:textId="77777777" w:rsidR="00414DF5" w:rsidRPr="00414DF5" w:rsidRDefault="00414DF5" w:rsidP="00414DF5">
      <w:pPr>
        <w:pStyle w:val="NormalWeb"/>
        <w:spacing w:before="0" w:beforeAutospacing="0" w:after="0" w:afterAutospacing="0"/>
        <w:jc w:val="center"/>
      </w:pPr>
      <w:r w:rsidRPr="00414DF5">
        <w:rPr>
          <w:b/>
          <w:bCs/>
          <w:color w:val="000000"/>
          <w:shd w:val="clear" w:color="auto" w:fill="FFFFFF"/>
        </w:rPr>
        <w:t>Governing the Black Box: The EU AI Act, UK GDPR, and the Regulation of Automated Decision-Making in Financial Services by Rehan Mongia</w:t>
      </w:r>
    </w:p>
    <w:p w14:paraId="31403769" w14:textId="77777777" w:rsidR="00414DF5" w:rsidRDefault="00414DF5" w:rsidP="00414DF5">
      <w:pPr>
        <w:pStyle w:val="NormalWeb"/>
        <w:spacing w:before="0" w:beforeAutospacing="0" w:after="0" w:afterAutospacing="0" w:line="480" w:lineRule="auto"/>
      </w:pPr>
      <w:r>
        <w:rPr>
          <w:b/>
          <w:bCs/>
          <w:color w:val="000000"/>
        </w:rPr>
        <w:br/>
        <w:t>Introduction</w:t>
      </w:r>
      <w:r>
        <w:rPr>
          <w:color w:val="000000"/>
        </w:rPr>
        <w:t> </w:t>
      </w:r>
    </w:p>
    <w:p w14:paraId="079A8AB1" w14:textId="77777777" w:rsidR="00414DF5" w:rsidRDefault="00414DF5" w:rsidP="00414DF5"/>
    <w:p w14:paraId="4EC77015" w14:textId="77777777" w:rsidR="00414DF5" w:rsidRDefault="00414DF5" w:rsidP="00414DF5">
      <w:pPr>
        <w:pStyle w:val="NormalWeb"/>
        <w:spacing w:before="0" w:beforeAutospacing="0" w:after="0" w:afterAutospacing="0" w:line="480" w:lineRule="auto"/>
        <w:ind w:firstLine="720"/>
      </w:pPr>
      <w:r>
        <w:rPr>
          <w:color w:val="000000"/>
        </w:rPr>
        <w:t>The incorporation of Artificial Intelligence (AI) systems in financial services represents a paradigm shift in regulatory expectations and demonstrates a new systemic risk in the sector. The outset of GenAI models like OpenAI’s ChatGPT in 2022 alerted policymakers in Brussels to opt for regulating foundational models in heed of repeated warnings for caution from industry experts (Zenner, 2025).</w:t>
      </w:r>
      <w:r>
        <w:rPr>
          <w:color w:val="000000"/>
          <w:sz w:val="14"/>
          <w:szCs w:val="14"/>
          <w:vertAlign w:val="superscript"/>
        </w:rPr>
        <w:t>1</w:t>
      </w:r>
      <w:r>
        <w:rPr>
          <w:color w:val="000000"/>
        </w:rPr>
        <w:t xml:space="preserve"> The deployment of AI in sectors such as banking and insurance in different functional capacities, such as combating money laundering and credit decisioning, offers firms the benefits of cost-cutting and bolstering operational efficiency—at the expense of the highly-perceived risks concerning data protection, bias and consumer protection (Bank of England, 2024).</w:t>
      </w:r>
      <w:r>
        <w:rPr>
          <w:color w:val="000000"/>
          <w:sz w:val="14"/>
          <w:szCs w:val="14"/>
          <w:vertAlign w:val="superscript"/>
        </w:rPr>
        <w:t>2</w:t>
      </w:r>
      <w:r>
        <w:rPr>
          <w:color w:val="000000"/>
        </w:rPr>
        <w:t xml:space="preserve"> This essay argues that the response of the EU and the UK’s regulatory architecture, especially in light of data privacy concerns and allocation of liability, has left a governance gap which the relevant law does not adequately fill. </w:t>
      </w:r>
    </w:p>
    <w:p w14:paraId="5423AFEB" w14:textId="77777777" w:rsidR="00414DF5" w:rsidRDefault="00414DF5" w:rsidP="00414DF5"/>
    <w:p w14:paraId="78209F7D" w14:textId="77777777" w:rsidR="00414DF5" w:rsidRDefault="00414DF5" w:rsidP="00414DF5">
      <w:pPr>
        <w:pStyle w:val="NormalWeb"/>
        <w:spacing w:before="0" w:beforeAutospacing="0" w:after="0" w:afterAutospacing="0" w:line="480" w:lineRule="auto"/>
      </w:pPr>
      <w:r>
        <w:rPr>
          <w:b/>
          <w:bCs/>
          <w:color w:val="000000"/>
        </w:rPr>
        <w:t>Expansion of Automated Decision-Making Through AI and Inherent Risks </w:t>
      </w:r>
    </w:p>
    <w:p w14:paraId="16936570" w14:textId="77777777" w:rsidR="00414DF5" w:rsidRDefault="00414DF5" w:rsidP="00414DF5"/>
    <w:p w14:paraId="2FA74A3D" w14:textId="77777777" w:rsidR="00414DF5" w:rsidRDefault="00414DF5" w:rsidP="00414DF5">
      <w:pPr>
        <w:pStyle w:val="NormalWeb"/>
        <w:spacing w:before="0" w:beforeAutospacing="0" w:after="0" w:afterAutospacing="0" w:line="480" w:lineRule="auto"/>
        <w:ind w:firstLine="720"/>
      </w:pPr>
      <w:r>
        <w:rPr>
          <w:color w:val="000000"/>
        </w:rPr>
        <w:t>The Lloyds Banking Group, as of November 2025, became one of the first UK banks to announce the induction of its own agentic AI for the ‘financial empowerment’ of its customers (Lloyds Banking Group, 2025).</w:t>
      </w:r>
      <w:r>
        <w:rPr>
          <w:color w:val="000000"/>
          <w:sz w:val="14"/>
          <w:szCs w:val="14"/>
          <w:vertAlign w:val="superscript"/>
        </w:rPr>
        <w:t>3</w:t>
      </w:r>
      <w:r>
        <w:rPr>
          <w:color w:val="000000"/>
        </w:rPr>
        <w:t xml:space="preserve"> Moody’s defined an agentic AI system as one which is capable of performing automated-decision making adapting to real time data (Moody’s, 2026).</w:t>
      </w:r>
      <w:r>
        <w:rPr>
          <w:color w:val="000000"/>
          <w:sz w:val="14"/>
          <w:szCs w:val="14"/>
          <w:vertAlign w:val="superscript"/>
        </w:rPr>
        <w:t>4</w:t>
      </w:r>
      <w:r>
        <w:rPr>
          <w:color w:val="000000"/>
        </w:rPr>
        <w:t xml:space="preserve"> The emergence of such AI systems signals a major shift in the manner consumer data and quantitative metrics will be analysed with little to no human intervention. </w:t>
      </w:r>
      <w:r>
        <w:rPr>
          <w:color w:val="000000"/>
        </w:rPr>
        <w:lastRenderedPageBreak/>
        <w:t xml:space="preserve">According to a 2024 survey of FCA-regulated firms, AI use had been engaged </w:t>
      </w:r>
      <w:proofErr w:type="gramStart"/>
      <w:r>
        <w:rPr>
          <w:color w:val="000000"/>
        </w:rPr>
        <w:t>to a great extent</w:t>
      </w:r>
      <w:proofErr w:type="gramEnd"/>
      <w:r>
        <w:rPr>
          <w:color w:val="000000"/>
        </w:rPr>
        <w:t xml:space="preserve"> in core business areas of operations and retail banking already, with plans to expand such use general insurance and compliance (Bank of England, 2024)</w:t>
      </w:r>
      <w:r>
        <w:rPr>
          <w:color w:val="000000"/>
          <w:sz w:val="14"/>
          <w:szCs w:val="14"/>
          <w:vertAlign w:val="superscript"/>
        </w:rPr>
        <w:t>2</w:t>
      </w:r>
      <w:r>
        <w:rPr>
          <w:color w:val="000000"/>
        </w:rPr>
        <w:t>.  </w:t>
      </w:r>
    </w:p>
    <w:p w14:paraId="3FD7C3C0" w14:textId="77777777" w:rsidR="00414DF5" w:rsidRDefault="00414DF5" w:rsidP="00414DF5">
      <w:pPr>
        <w:pStyle w:val="NormalWeb"/>
        <w:spacing w:before="0" w:beforeAutospacing="0" w:after="0" w:afterAutospacing="0" w:line="480" w:lineRule="auto"/>
        <w:ind w:firstLine="720"/>
      </w:pPr>
      <w:proofErr w:type="gramStart"/>
      <w:r>
        <w:rPr>
          <w:color w:val="000000"/>
        </w:rPr>
        <w:t>In light of</w:t>
      </w:r>
      <w:proofErr w:type="gramEnd"/>
      <w:r>
        <w:rPr>
          <w:color w:val="000000"/>
        </w:rPr>
        <w:t xml:space="preserve"> the increasing AI dependence, multiple industry experts and organisations have issued warnings of heightened threat to banks’ threshold for risk of error in line with traditional AI concerns in the context of financial services. One of the key risks associated with ‘general-purpose’ or generative AI systems is bias. Regulators have identified this risk in the context of financial services wherein AI systems may be prone to algorithmic bias through the favouring of certain outcomes that can result in misleading statements of facts, better known as ‘hallucinations’ (Leitner et al., 2024).</w:t>
      </w:r>
      <w:r>
        <w:rPr>
          <w:color w:val="000000"/>
          <w:sz w:val="14"/>
          <w:szCs w:val="14"/>
          <w:vertAlign w:val="superscript"/>
        </w:rPr>
        <w:t>5</w:t>
      </w:r>
      <w:r>
        <w:rPr>
          <w:color w:val="000000"/>
        </w:rPr>
        <w:t xml:space="preserve"> These concerns can be corroborated with the use of such systems in consumer creditworthiness assessments wherein </w:t>
      </w:r>
      <w:proofErr w:type="spellStart"/>
      <w:r>
        <w:rPr>
          <w:color w:val="000000"/>
        </w:rPr>
        <w:t>decisionmaking</w:t>
      </w:r>
      <w:proofErr w:type="spellEnd"/>
      <w:r>
        <w:rPr>
          <w:color w:val="000000"/>
        </w:rPr>
        <w:t xml:space="preserve"> is highly context-specific and errors can create potential consumer fairness and equality framework issues for firms in addition to likely Art 22 GDPR violations (Article 22 of the GDPR grants individuals the right not to be subject to decisions based solely on automated processing).</w:t>
      </w:r>
    </w:p>
    <w:p w14:paraId="537D826D" w14:textId="77777777" w:rsidR="00414DF5" w:rsidRDefault="00414DF5" w:rsidP="00414DF5">
      <w:pPr>
        <w:pStyle w:val="NormalWeb"/>
        <w:spacing w:before="0" w:beforeAutospacing="0" w:after="0" w:afterAutospacing="0" w:line="480" w:lineRule="auto"/>
        <w:ind w:firstLine="720"/>
      </w:pPr>
      <w:r>
        <w:rPr>
          <w:color w:val="000000"/>
        </w:rPr>
        <w:t xml:space="preserve">Generative AI models utilise base knowledge from foundational models (which are trained on large raw </w:t>
      </w:r>
      <w:proofErr w:type="gramStart"/>
      <w:r>
        <w:rPr>
          <w:color w:val="000000"/>
        </w:rPr>
        <w:t>data-sets</w:t>
      </w:r>
      <w:proofErr w:type="gramEnd"/>
      <w:r>
        <w:rPr>
          <w:color w:val="000000"/>
        </w:rPr>
        <w:t>) and go through further fine-tuning and task-specific algorithmic training before they are released by providers (Leitner et al., 2024). Such complex models (like ChatGPT) can lead to explainability concerns where it gets difficult for deployers like banks to discern the reasoning of AI systems in making certain decisions engendering increased systemic risk for automated-decision making (more commonly known as the AI’s ‘black-box’ problem) (</w:t>
      </w:r>
      <w:proofErr w:type="spellStart"/>
      <w:r>
        <w:rPr>
          <w:color w:val="000000"/>
        </w:rPr>
        <w:t>Micillo</w:t>
      </w:r>
      <w:proofErr w:type="spellEnd"/>
      <w:r>
        <w:rPr>
          <w:color w:val="000000"/>
        </w:rPr>
        <w:t>, 2026).</w:t>
      </w:r>
      <w:r>
        <w:rPr>
          <w:color w:val="000000"/>
          <w:sz w:val="14"/>
          <w:szCs w:val="14"/>
          <w:vertAlign w:val="superscript"/>
        </w:rPr>
        <w:t>6</w:t>
      </w:r>
      <w:r>
        <w:rPr>
          <w:color w:val="000000"/>
        </w:rPr>
        <w:t xml:space="preserve"> Lawmakers in Westminster have acknowledged the lack of legislation addressing the systemic risk posed by the induction of such technology and with only the existing FCA framework to rely on (Treasury Committee, 2026)</w:t>
      </w:r>
      <w:r>
        <w:rPr>
          <w:color w:val="000000"/>
          <w:sz w:val="14"/>
          <w:szCs w:val="14"/>
          <w:vertAlign w:val="superscript"/>
        </w:rPr>
        <w:t>7</w:t>
      </w:r>
      <w:r>
        <w:rPr>
          <w:color w:val="000000"/>
        </w:rPr>
        <w:t xml:space="preserve">, it is proved that there is a gap in regulation in this sector. Additionally, GenAI model </w:t>
      </w:r>
      <w:r>
        <w:rPr>
          <w:color w:val="000000"/>
        </w:rPr>
        <w:lastRenderedPageBreak/>
        <w:t>providers have yet to address the ‘explainability’ concern which represents one of the key pillars of the EU AI Act (</w:t>
      </w:r>
      <w:proofErr w:type="spellStart"/>
      <w:r>
        <w:rPr>
          <w:color w:val="000000"/>
        </w:rPr>
        <w:t>Micillo</w:t>
      </w:r>
      <w:proofErr w:type="spellEnd"/>
      <w:r>
        <w:rPr>
          <w:color w:val="000000"/>
        </w:rPr>
        <w:t>, 2026). </w:t>
      </w:r>
    </w:p>
    <w:p w14:paraId="11017C19" w14:textId="77777777" w:rsidR="00414DF5" w:rsidRDefault="00414DF5" w:rsidP="00414DF5"/>
    <w:p w14:paraId="01027F29" w14:textId="77777777" w:rsidR="00414DF5" w:rsidRDefault="00414DF5" w:rsidP="00414DF5">
      <w:pPr>
        <w:pStyle w:val="NormalWeb"/>
        <w:spacing w:before="0" w:beforeAutospacing="0" w:after="0" w:afterAutospacing="0" w:line="480" w:lineRule="auto"/>
      </w:pPr>
      <w:r>
        <w:rPr>
          <w:b/>
          <w:bCs/>
          <w:color w:val="000000"/>
        </w:rPr>
        <w:t>Provider - Deployer Relations and Liability </w:t>
      </w:r>
    </w:p>
    <w:p w14:paraId="57D50496" w14:textId="77777777" w:rsidR="00414DF5" w:rsidRDefault="00414DF5" w:rsidP="00414DF5"/>
    <w:p w14:paraId="221DCD48" w14:textId="77777777" w:rsidR="00414DF5" w:rsidRDefault="00414DF5" w:rsidP="00414DF5">
      <w:pPr>
        <w:pStyle w:val="NormalWeb"/>
        <w:spacing w:before="0" w:beforeAutospacing="0" w:after="0" w:afterAutospacing="0" w:line="480" w:lineRule="auto"/>
        <w:ind w:firstLine="720"/>
      </w:pPr>
      <w:r>
        <w:rPr>
          <w:color w:val="000000"/>
        </w:rPr>
        <w:t>Article 53 of EU AI Act obligates ‘General-Purpose AI’ (interchangeably used with ‘GenAI’) providers to maintain frameworks to comply with EU Copyright Law and more importantly, disclose information in regards to the data-sets the model has been trained on (European Parliament &amp; Council, 2024, Art. 53).</w:t>
      </w:r>
      <w:r>
        <w:rPr>
          <w:color w:val="000000"/>
          <w:sz w:val="14"/>
          <w:szCs w:val="14"/>
          <w:vertAlign w:val="superscript"/>
        </w:rPr>
        <w:t>8</w:t>
      </w:r>
      <w:r>
        <w:rPr>
          <w:color w:val="000000"/>
        </w:rPr>
        <w:t xml:space="preserve"> One important point to dwell on here is the allocation of such obligations when firms deploy AI models in practice for differentiated use by fine-tuning the model through further training on substantive datasets. In October 2025, JPMorgan made significant changes to its Large Language Model (LLM) Suite through the induction of agentic AI powered by OpenAI and Anthropic (Wheeler, 2025).</w:t>
      </w:r>
      <w:r>
        <w:rPr>
          <w:color w:val="000000"/>
          <w:sz w:val="14"/>
          <w:szCs w:val="14"/>
          <w:vertAlign w:val="superscript"/>
        </w:rPr>
        <w:t>9</w:t>
      </w:r>
      <w:r>
        <w:rPr>
          <w:color w:val="000000"/>
        </w:rPr>
        <w:t xml:space="preserve"> This development would involve updating the data-sets fed to the models to expand their scope of function which could eventually lead to a point where the extension of AI Act obligations becomes imperative for deployers such as JPMorgan in the interest of transparency and accountability. Article 25 (AI Act) provides that it will deem any deployer of GenAI as a provider, if significant modification (Parameters set out in para 61 - Guidelines EU AI Act) have been made which subjects firms to the same obligations, providers are subject to under the act.</w:t>
      </w:r>
    </w:p>
    <w:p w14:paraId="6C58F97A" w14:textId="77777777" w:rsidR="00414DF5" w:rsidRDefault="00414DF5" w:rsidP="00414DF5">
      <w:pPr>
        <w:pStyle w:val="NormalWeb"/>
        <w:spacing w:before="0" w:beforeAutospacing="0" w:after="0" w:afterAutospacing="0" w:line="480" w:lineRule="auto"/>
        <w:ind w:firstLine="720"/>
      </w:pPr>
      <w:r>
        <w:rPr>
          <w:color w:val="000000"/>
        </w:rPr>
        <w:t xml:space="preserve">This allocation becomes especially significant in cases of AI use in financial services which the EU already classifies as being high-risk (European Parliament &amp; Council, 2024, Art. 6(2); Annex III). Deployers in the financial sphere will build on models provided by developers without having access to the proprietary source code, with potential for consumer protection issues </w:t>
      </w:r>
      <w:proofErr w:type="gramStart"/>
      <w:r>
        <w:rPr>
          <w:color w:val="000000"/>
        </w:rPr>
        <w:t>in regards to</w:t>
      </w:r>
      <w:proofErr w:type="gramEnd"/>
      <w:r>
        <w:rPr>
          <w:color w:val="000000"/>
        </w:rPr>
        <w:t xml:space="preserve"> the lack of transparency and accountability, which the EU AI Act is founded on. Where AI-generated decisions result in consumer harm, the developer-</w:t>
      </w:r>
      <w:r>
        <w:rPr>
          <w:color w:val="000000"/>
        </w:rPr>
        <w:lastRenderedPageBreak/>
        <w:t xml:space="preserve">deployer relationship diffuses liability precisely where it needs to be concentrated, a tension the AI Act leaves </w:t>
      </w:r>
      <w:proofErr w:type="spellStart"/>
      <w:r>
        <w:rPr>
          <w:color w:val="000000"/>
        </w:rPr>
        <w:t>underresolved</w:t>
      </w:r>
      <w:proofErr w:type="spellEnd"/>
      <w:r>
        <w:rPr>
          <w:color w:val="000000"/>
        </w:rPr>
        <w:t>. The absence of any AI Act equivalent in the UK (except for PRA Guidelines) puts authorities in a race to catch up with the growing implementation of AI systems with firms with no system to allocate individual obligation to firms or providers. </w:t>
      </w:r>
    </w:p>
    <w:p w14:paraId="2C67B19C" w14:textId="77777777" w:rsidR="00414DF5" w:rsidRDefault="00414DF5" w:rsidP="00414DF5"/>
    <w:p w14:paraId="211583EB" w14:textId="77777777" w:rsidR="00414DF5" w:rsidRDefault="00414DF5" w:rsidP="00414DF5">
      <w:pPr>
        <w:pStyle w:val="NormalWeb"/>
        <w:spacing w:before="0" w:beforeAutospacing="0" w:after="0" w:afterAutospacing="0" w:line="480" w:lineRule="auto"/>
      </w:pPr>
      <w:r>
        <w:rPr>
          <w:b/>
          <w:bCs/>
          <w:color w:val="000000"/>
        </w:rPr>
        <w:t>Data Privacy Concerns  </w:t>
      </w:r>
    </w:p>
    <w:p w14:paraId="51728478" w14:textId="77777777" w:rsidR="00414DF5" w:rsidRDefault="00414DF5" w:rsidP="00414DF5"/>
    <w:p w14:paraId="3150CEFB" w14:textId="77777777" w:rsidR="00414DF5" w:rsidRDefault="00414DF5" w:rsidP="00414DF5">
      <w:pPr>
        <w:pStyle w:val="NormalWeb"/>
        <w:spacing w:before="0" w:beforeAutospacing="0" w:after="0" w:afterAutospacing="0" w:line="480" w:lineRule="auto"/>
        <w:ind w:firstLine="720"/>
      </w:pPr>
      <w:r>
        <w:rPr>
          <w:color w:val="000000"/>
        </w:rPr>
        <w:t>Where the use of AI systems becomes particularly concerning is the method by which user data is processed and stored. The essence of this concern is enshrined in the Charter of Fundamental Rights of the European Union itself, with Article 8, which provides the right to protection for personal data (European Union, 2012, Art. 8).</w:t>
      </w:r>
      <w:r>
        <w:rPr>
          <w:color w:val="000000"/>
          <w:sz w:val="14"/>
          <w:szCs w:val="14"/>
          <w:vertAlign w:val="superscript"/>
        </w:rPr>
        <w:t>10</w:t>
      </w:r>
      <w:r>
        <w:rPr>
          <w:color w:val="000000"/>
        </w:rPr>
        <w:t xml:space="preserve"> As expressed earlier in this essay, third-party reliance on providers on behalf of financial firms as the training of models on confidential user-data could lead to compliance issues for deployers. Article 35 GDPR further envisages ‘data protection impact assessments’ with the purpose of identifying, analysing and mitigating privacy risks through meticulous assessments of the data-processing capabilities of AI models operating at scale for uses such as automated decision making (European Parliament &amp; Council, 2016, Art. 35).</w:t>
      </w:r>
      <w:r>
        <w:rPr>
          <w:color w:val="000000"/>
          <w:sz w:val="14"/>
          <w:szCs w:val="14"/>
          <w:vertAlign w:val="superscript"/>
        </w:rPr>
        <w:t>11</w:t>
      </w:r>
      <w:r>
        <w:rPr>
          <w:color w:val="000000"/>
        </w:rPr>
        <w:t xml:space="preserve"> Most directly engaged law here is Article 22 UK GDPR, which affords individuals the right not to be subject to solely automated decisions with legal or significant effect, with Articles 13-15 further requiring deployers to provide 'meaningful information about the logic involved'. These obligations will prove difficult to fulfil where the underlying model remains a black box (UK GDPR, Arts. 13 - 15, 22). </w:t>
      </w:r>
    </w:p>
    <w:p w14:paraId="04212F6E" w14:textId="77777777" w:rsidR="00414DF5" w:rsidRDefault="00414DF5" w:rsidP="00414DF5">
      <w:pPr>
        <w:pStyle w:val="NormalWeb"/>
        <w:spacing w:before="0" w:beforeAutospacing="0" w:after="0" w:afterAutospacing="0" w:line="480" w:lineRule="auto"/>
        <w:ind w:firstLine="720"/>
      </w:pPr>
      <w:r>
        <w:rPr>
          <w:color w:val="000000"/>
        </w:rPr>
        <w:t xml:space="preserve">With explainability issues already set out in the previous section, firms will struggle to manage compliance with legal compliance under hard-bound legislation as well as regulatory oversight. Where the law seems to leave a gap is data-protection requirements strictly for AI systems in financial services encompassed as part of the regulatory framework </w:t>
      </w:r>
      <w:r>
        <w:rPr>
          <w:color w:val="000000"/>
        </w:rPr>
        <w:lastRenderedPageBreak/>
        <w:t xml:space="preserve">which the FCA has acknowledged that it lacks in a recent update </w:t>
      </w:r>
      <w:proofErr w:type="gramStart"/>
      <w:r>
        <w:rPr>
          <w:color w:val="000000"/>
        </w:rPr>
        <w:t>in regards to</w:t>
      </w:r>
      <w:proofErr w:type="gramEnd"/>
      <w:r>
        <w:rPr>
          <w:color w:val="000000"/>
        </w:rPr>
        <w:t xml:space="preserve"> AI technology (Financial Conduct Authority, 2024, para. 3.35).</w:t>
      </w:r>
      <w:r>
        <w:rPr>
          <w:color w:val="000000"/>
          <w:sz w:val="14"/>
          <w:szCs w:val="14"/>
          <w:vertAlign w:val="superscript"/>
        </w:rPr>
        <w:t>12</w:t>
      </w:r>
      <w:r>
        <w:rPr>
          <w:color w:val="000000"/>
        </w:rPr>
        <w:t xml:space="preserve"> With no new regulation or law currently being introduced at least in the UK for AI incorporation into financial services, regulators are left with the same principles and requirements set out in the FCA handbook which, in many instances, do not afford consumers a right to redress (Financial Conduct Authority, n.d., PRIN 3.1.6R).</w:t>
      </w:r>
      <w:r>
        <w:rPr>
          <w:color w:val="000000"/>
          <w:sz w:val="14"/>
          <w:szCs w:val="14"/>
          <w:vertAlign w:val="superscript"/>
        </w:rPr>
        <w:t>13  </w:t>
      </w:r>
    </w:p>
    <w:p w14:paraId="082543F0" w14:textId="77777777" w:rsidR="00414DF5" w:rsidRDefault="00414DF5" w:rsidP="00414DF5"/>
    <w:p w14:paraId="18AC11C7" w14:textId="77777777" w:rsidR="00414DF5" w:rsidRDefault="00414DF5" w:rsidP="00414DF5">
      <w:pPr>
        <w:pStyle w:val="NormalWeb"/>
        <w:spacing w:before="0" w:beforeAutospacing="0" w:after="0" w:afterAutospacing="0" w:line="480" w:lineRule="auto"/>
      </w:pPr>
      <w:r>
        <w:rPr>
          <w:b/>
          <w:bCs/>
          <w:color w:val="000000"/>
        </w:rPr>
        <w:t>Conclusion and Commentary </w:t>
      </w:r>
    </w:p>
    <w:p w14:paraId="1C32ACA1" w14:textId="77777777" w:rsidR="00414DF5" w:rsidRDefault="00414DF5" w:rsidP="00414DF5"/>
    <w:p w14:paraId="5F154BD7" w14:textId="77777777" w:rsidR="00414DF5" w:rsidRDefault="00414DF5" w:rsidP="00414DF5">
      <w:pPr>
        <w:pStyle w:val="NormalWeb"/>
        <w:spacing w:before="0" w:beforeAutospacing="0" w:after="0" w:afterAutospacing="0" w:line="480" w:lineRule="auto"/>
        <w:ind w:firstLine="720"/>
      </w:pPr>
      <w:r>
        <w:rPr>
          <w:color w:val="000000"/>
        </w:rPr>
        <w:t>The analysis set out in this essay demonstrates that the governance of AI systems in financial services remains fundamentally incomplete. Whilst the EU AI Act introduces a structured framework for allocating obligations between providers and deployers, and the UK GDPR enshrines meaningful data protection rights, neither instrument was designed with the operational realities of generative AI in financial services squarely in mind. The developer–deployer relation clouds liability where it most needs to be concentrated, explainability obligations clash with the black-box nature of foundational models, and the UK's absence of an AI Act equivalent leaves regulators reliant on principles-based oversight that affords consumers limited recourse. </w:t>
      </w:r>
    </w:p>
    <w:p w14:paraId="4F0B6F84" w14:textId="77777777" w:rsidR="00414DF5" w:rsidRDefault="00414DF5" w:rsidP="00414DF5">
      <w:pPr>
        <w:pStyle w:val="NormalWeb"/>
        <w:spacing w:before="0" w:beforeAutospacing="0" w:after="0" w:afterAutospacing="0" w:line="480" w:lineRule="auto"/>
        <w:ind w:firstLine="720"/>
      </w:pPr>
      <w:r>
        <w:rPr>
          <w:color w:val="000000"/>
        </w:rPr>
        <w:t xml:space="preserve">The pace of AI adoption among financial firms as seen in the case </w:t>
      </w:r>
      <w:proofErr w:type="gramStart"/>
      <w:r>
        <w:rPr>
          <w:color w:val="000000"/>
        </w:rPr>
        <w:t>of  Lloyds</w:t>
      </w:r>
      <w:proofErr w:type="gramEnd"/>
      <w:r>
        <w:rPr>
          <w:color w:val="000000"/>
        </w:rPr>
        <w:t xml:space="preserve"> and JPMorgan has demonstrably outrun the regulatory frameworks purporting to govern it. Until purpose-built, sector-specific AI legislation is introduced, the governance gap identified throughout this essay will persist, filled imperfectly at best. </w:t>
      </w:r>
    </w:p>
    <w:p w14:paraId="04C1F0D3" w14:textId="77777777" w:rsidR="00414DF5" w:rsidRDefault="00414DF5" w:rsidP="00414DF5"/>
    <w:p w14:paraId="1F408846" w14:textId="77777777" w:rsidR="00414DF5" w:rsidRDefault="00414DF5" w:rsidP="00414DF5">
      <w:pPr>
        <w:pStyle w:val="NormalWeb"/>
        <w:spacing w:before="0" w:beforeAutospacing="0" w:after="0" w:afterAutospacing="0" w:line="480" w:lineRule="auto"/>
      </w:pPr>
      <w:r>
        <w:rPr>
          <w:color w:val="000000"/>
        </w:rPr>
        <w:t> </w:t>
      </w:r>
    </w:p>
    <w:p w14:paraId="09B8B30F" w14:textId="77777777" w:rsidR="00414DF5" w:rsidRDefault="00414DF5" w:rsidP="00414DF5"/>
    <w:p w14:paraId="2FD417E3" w14:textId="013C4126" w:rsidR="00414DF5" w:rsidRDefault="00414DF5" w:rsidP="00414DF5">
      <w:pPr>
        <w:pStyle w:val="NormalWeb"/>
        <w:spacing w:before="0" w:beforeAutospacing="0" w:after="0" w:afterAutospacing="0" w:line="480" w:lineRule="auto"/>
      </w:pPr>
      <w:r>
        <w:br/>
      </w:r>
    </w:p>
    <w:p w14:paraId="76A51A21" w14:textId="77777777" w:rsidR="00414DF5" w:rsidRDefault="00414DF5" w:rsidP="00414DF5">
      <w:pPr>
        <w:pStyle w:val="NormalWeb"/>
        <w:spacing w:before="0" w:beforeAutospacing="0" w:after="0" w:afterAutospacing="0" w:line="480" w:lineRule="auto"/>
        <w:jc w:val="center"/>
      </w:pPr>
      <w:r>
        <w:rPr>
          <w:color w:val="000000"/>
        </w:rPr>
        <w:lastRenderedPageBreak/>
        <w:t>References </w:t>
      </w:r>
    </w:p>
    <w:p w14:paraId="36E86CCF" w14:textId="77777777" w:rsidR="00414DF5" w:rsidRDefault="00414DF5" w:rsidP="00414DF5">
      <w:pPr>
        <w:ind w:left="720" w:hanging="720"/>
      </w:pPr>
    </w:p>
    <w:p w14:paraId="0DA30E9B" w14:textId="77777777" w:rsidR="00414DF5" w:rsidRDefault="00414DF5" w:rsidP="00414DF5">
      <w:pPr>
        <w:pStyle w:val="NormalWeb"/>
        <w:spacing w:before="0" w:beforeAutospacing="0" w:after="0" w:afterAutospacing="0"/>
        <w:ind w:left="720" w:hanging="720"/>
      </w:pPr>
      <w:r>
        <w:rPr>
          <w:color w:val="000000"/>
        </w:rPr>
        <w:t>Bank of England &amp; Financial Conduct Authority. (2024, November 21). Artificial intelligence in UK financial services – 2024. https://www.bankofengland.co.uk/report/2024/artificial-intelligence-in-uk-financial-services-2024 </w:t>
      </w:r>
    </w:p>
    <w:p w14:paraId="4373F5C6" w14:textId="77777777" w:rsidR="00414DF5" w:rsidRDefault="00414DF5" w:rsidP="00414DF5">
      <w:pPr>
        <w:ind w:left="720" w:hanging="720"/>
      </w:pPr>
    </w:p>
    <w:p w14:paraId="52A87FE0" w14:textId="77777777" w:rsidR="00414DF5" w:rsidRDefault="00414DF5" w:rsidP="00414DF5">
      <w:pPr>
        <w:pStyle w:val="NormalWeb"/>
        <w:spacing w:before="0" w:beforeAutospacing="0" w:after="0" w:afterAutospacing="0"/>
        <w:ind w:left="720" w:hanging="720"/>
      </w:pPr>
      <w:r>
        <w:rPr>
          <w:color w:val="000000"/>
        </w:rPr>
        <w:t xml:space="preserve">European Parliament &amp; Council of the European Union. (2016). Regulation (EU) 2016/679 on the protection of natural persons </w:t>
      </w:r>
      <w:proofErr w:type="gramStart"/>
      <w:r>
        <w:rPr>
          <w:color w:val="000000"/>
        </w:rPr>
        <w:t>with regard to</w:t>
      </w:r>
      <w:proofErr w:type="gramEnd"/>
      <w:r>
        <w:rPr>
          <w:color w:val="000000"/>
        </w:rPr>
        <w:t xml:space="preserve"> the processing of personal data and on the free movement of such data (General Data Protection Regulation). Official Journal of the European Union. https://eur-lex.europa.eu/eli/reg/2016/679/oj </w:t>
      </w:r>
    </w:p>
    <w:p w14:paraId="253E9123" w14:textId="77777777" w:rsidR="00414DF5" w:rsidRDefault="00414DF5" w:rsidP="00414DF5">
      <w:pPr>
        <w:ind w:left="720" w:hanging="720"/>
      </w:pPr>
    </w:p>
    <w:p w14:paraId="6C52C09B" w14:textId="77777777" w:rsidR="00414DF5" w:rsidRDefault="00414DF5" w:rsidP="00414DF5">
      <w:pPr>
        <w:pStyle w:val="NormalWeb"/>
        <w:spacing w:before="0" w:beforeAutospacing="0" w:after="0" w:afterAutospacing="0"/>
        <w:ind w:left="720" w:hanging="720"/>
      </w:pPr>
      <w:r>
        <w:rPr>
          <w:color w:val="000000"/>
        </w:rPr>
        <w:t>European Parliament &amp; Council of the European Union. (2024). Regulation (EU) 2024/1689 laying down harmonised rules on artificial intelligence (Artificial Intelligence Act). Official Journal of the European Union. https://eur-lex.europa.eu/eli/reg/2024/1689/oj </w:t>
      </w:r>
    </w:p>
    <w:p w14:paraId="3DB3F2CB" w14:textId="77777777" w:rsidR="00414DF5" w:rsidRDefault="00414DF5" w:rsidP="00414DF5">
      <w:pPr>
        <w:ind w:left="720" w:hanging="720"/>
      </w:pPr>
    </w:p>
    <w:p w14:paraId="3B763295" w14:textId="77777777" w:rsidR="00414DF5" w:rsidRDefault="00414DF5" w:rsidP="00414DF5">
      <w:pPr>
        <w:pStyle w:val="NormalWeb"/>
        <w:spacing w:before="0" w:beforeAutospacing="0" w:after="0" w:afterAutospacing="0"/>
        <w:ind w:left="720" w:hanging="720"/>
      </w:pPr>
      <w:r>
        <w:rPr>
          <w:color w:val="000000"/>
        </w:rPr>
        <w:t>European Union. (2012). Charter of Fundamental Rights of the European Union (2012/C 326/02). Official Journal of the European Union. https://eur-lex.europa.eu/legal-content/EN/TXT/?uri=CELEX:12012P/TXT </w:t>
      </w:r>
    </w:p>
    <w:p w14:paraId="407F59FE" w14:textId="77777777" w:rsidR="00414DF5" w:rsidRDefault="00414DF5" w:rsidP="00414DF5">
      <w:pPr>
        <w:ind w:left="720" w:hanging="720"/>
      </w:pPr>
    </w:p>
    <w:p w14:paraId="70AC3345" w14:textId="77777777" w:rsidR="00414DF5" w:rsidRDefault="00414DF5" w:rsidP="00414DF5">
      <w:pPr>
        <w:pStyle w:val="NormalWeb"/>
        <w:spacing w:before="0" w:beforeAutospacing="0" w:after="0" w:afterAutospacing="0"/>
        <w:ind w:left="720" w:hanging="720"/>
      </w:pPr>
      <w:r>
        <w:rPr>
          <w:color w:val="000000"/>
        </w:rPr>
        <w:t>Financial Conduct Authority. (2024, April). Artificial intelligence (AI) update – further to the Government's response to the AI White Paper. https://www.fca.org.uk/publication/corporate/ai-update.pdf </w:t>
      </w:r>
    </w:p>
    <w:p w14:paraId="1937E1A5" w14:textId="77777777" w:rsidR="00414DF5" w:rsidRDefault="00414DF5" w:rsidP="00414DF5">
      <w:pPr>
        <w:ind w:left="720" w:hanging="720"/>
      </w:pPr>
    </w:p>
    <w:p w14:paraId="0FD828EC" w14:textId="77777777" w:rsidR="00414DF5" w:rsidRDefault="00414DF5" w:rsidP="00414DF5">
      <w:pPr>
        <w:pStyle w:val="NormalWeb"/>
        <w:spacing w:before="0" w:beforeAutospacing="0" w:after="0" w:afterAutospacing="0"/>
        <w:ind w:left="720" w:hanging="720"/>
      </w:pPr>
      <w:r>
        <w:rPr>
          <w:color w:val="000000"/>
        </w:rPr>
        <w:t>Financial Conduct Authority. (n.d.). FCA Handbook: Principles for Businesses (PRIN). https://www.handbook.fca.org.uk/handbook/PRIN/ </w:t>
      </w:r>
    </w:p>
    <w:p w14:paraId="72A69F20" w14:textId="77777777" w:rsidR="00414DF5" w:rsidRDefault="00414DF5" w:rsidP="00414DF5">
      <w:pPr>
        <w:ind w:left="720" w:hanging="720"/>
      </w:pPr>
    </w:p>
    <w:p w14:paraId="7D339412" w14:textId="77777777" w:rsidR="00414DF5" w:rsidRDefault="00414DF5" w:rsidP="00414DF5">
      <w:pPr>
        <w:pStyle w:val="NormalWeb"/>
        <w:spacing w:before="0" w:beforeAutospacing="0" w:after="0" w:afterAutospacing="0"/>
        <w:ind w:left="720" w:hanging="720"/>
      </w:pPr>
      <w:r>
        <w:rPr>
          <w:color w:val="000000"/>
        </w:rPr>
        <w:t xml:space="preserve">Leitner, G., Singh, J., van der </w:t>
      </w:r>
      <w:proofErr w:type="spellStart"/>
      <w:r>
        <w:rPr>
          <w:color w:val="000000"/>
        </w:rPr>
        <w:t>Kraaij</w:t>
      </w:r>
      <w:proofErr w:type="spellEnd"/>
      <w:r>
        <w:rPr>
          <w:color w:val="000000"/>
        </w:rPr>
        <w:t>, A., &amp; Zsámboki, B. (2024, May). The rise of artificial intelligence: Benefits and risks for financial stability. European Central Bank. https://www.ecb.europa.eu/press/financial-stability-publications/fsr/special/html/ecb.fsrart202405_02~58c3ce5246.en.html </w:t>
      </w:r>
    </w:p>
    <w:p w14:paraId="3EC463B6" w14:textId="77777777" w:rsidR="00414DF5" w:rsidRDefault="00414DF5" w:rsidP="00414DF5">
      <w:pPr>
        <w:ind w:left="720" w:hanging="720"/>
      </w:pPr>
    </w:p>
    <w:p w14:paraId="0F32099F" w14:textId="77777777" w:rsidR="00414DF5" w:rsidRDefault="00414DF5" w:rsidP="00414DF5">
      <w:pPr>
        <w:pStyle w:val="NormalWeb"/>
        <w:spacing w:before="0" w:beforeAutospacing="0" w:after="0" w:afterAutospacing="0"/>
        <w:ind w:left="720" w:hanging="720"/>
      </w:pPr>
      <w:r>
        <w:rPr>
          <w:color w:val="000000"/>
        </w:rPr>
        <w:t>Lloyds Banking Group. (2025, November 6). Launching the UK's first agentic AI financial assistant. https://www.lloydsbankinggroup.com/insights/launching-the-uks-first-agentic-ai-financial-assistant.html </w:t>
      </w:r>
    </w:p>
    <w:p w14:paraId="0DA7DDB3" w14:textId="77777777" w:rsidR="00414DF5" w:rsidRDefault="00414DF5" w:rsidP="00414DF5">
      <w:pPr>
        <w:ind w:left="720" w:hanging="720"/>
      </w:pPr>
    </w:p>
    <w:p w14:paraId="7BF0D3B2" w14:textId="77777777" w:rsidR="00414DF5" w:rsidRDefault="00414DF5" w:rsidP="00414DF5">
      <w:pPr>
        <w:pStyle w:val="NormalWeb"/>
        <w:spacing w:before="0" w:beforeAutospacing="0" w:after="0" w:afterAutospacing="0"/>
        <w:ind w:left="720" w:hanging="720"/>
      </w:pPr>
      <w:proofErr w:type="spellStart"/>
      <w:r>
        <w:rPr>
          <w:color w:val="000000"/>
        </w:rPr>
        <w:t>Micillo</w:t>
      </w:r>
      <w:proofErr w:type="spellEnd"/>
      <w:r>
        <w:rPr>
          <w:color w:val="000000"/>
        </w:rPr>
        <w:t>, M. (2026, January 26). Governing AI in financial services: Threats and opportunities. Saïd Business School, University of Oxford. https://www.sbs.ox.ac.uk/oxford-answers/governing-ai-financial-services-threats-and-opportunities </w:t>
      </w:r>
    </w:p>
    <w:p w14:paraId="60F6524B" w14:textId="77777777" w:rsidR="00414DF5" w:rsidRDefault="00414DF5" w:rsidP="00414DF5">
      <w:pPr>
        <w:ind w:left="720" w:hanging="720"/>
      </w:pPr>
    </w:p>
    <w:p w14:paraId="64BFE009" w14:textId="77777777" w:rsidR="00414DF5" w:rsidRDefault="00414DF5" w:rsidP="00414DF5">
      <w:pPr>
        <w:pStyle w:val="NormalWeb"/>
        <w:spacing w:before="0" w:beforeAutospacing="0" w:after="0" w:afterAutospacing="0"/>
        <w:ind w:left="720" w:hanging="720"/>
      </w:pPr>
      <w:r>
        <w:rPr>
          <w:color w:val="000000"/>
        </w:rPr>
        <w:t xml:space="preserve">Moody's. (n.d.). Agentic AI in financial services. Moody's </w:t>
      </w:r>
      <w:proofErr w:type="spellStart"/>
      <w:r>
        <w:rPr>
          <w:color w:val="000000"/>
        </w:rPr>
        <w:t>CreditView</w:t>
      </w:r>
      <w:proofErr w:type="spellEnd"/>
      <w:r>
        <w:rPr>
          <w:color w:val="000000"/>
        </w:rPr>
        <w:t xml:space="preserve"> Blog. https://www.moodys.com/web/en/us/creditview/blog/agentic-ai-in-financial-services.html </w:t>
      </w:r>
    </w:p>
    <w:p w14:paraId="30029C7A" w14:textId="77777777" w:rsidR="00414DF5" w:rsidRDefault="00414DF5" w:rsidP="00414DF5">
      <w:pPr>
        <w:ind w:left="720" w:hanging="720"/>
      </w:pPr>
    </w:p>
    <w:p w14:paraId="6F39BAAD" w14:textId="77777777" w:rsidR="00414DF5" w:rsidRDefault="00414DF5" w:rsidP="00414DF5">
      <w:pPr>
        <w:pStyle w:val="NormalWeb"/>
        <w:spacing w:before="0" w:beforeAutospacing="0" w:after="0" w:afterAutospacing="0"/>
        <w:ind w:left="720" w:hanging="720"/>
      </w:pPr>
      <w:r>
        <w:rPr>
          <w:color w:val="000000"/>
        </w:rPr>
        <w:t>Treasury Committee. (2026, January 20). Artificial intelligence in financial services (Fifteenth Report of Session 2024–26, HC 684). House of Commons. https://publications.parliament.uk/pa/cm5901/cmselect/cmtreasy/684/report.html </w:t>
      </w:r>
    </w:p>
    <w:p w14:paraId="14BB6E32" w14:textId="77777777" w:rsidR="00414DF5" w:rsidRDefault="00414DF5" w:rsidP="00414DF5">
      <w:pPr>
        <w:ind w:left="720" w:hanging="720"/>
      </w:pPr>
    </w:p>
    <w:p w14:paraId="757F247D" w14:textId="77777777" w:rsidR="00414DF5" w:rsidRDefault="00414DF5" w:rsidP="00414DF5">
      <w:pPr>
        <w:pStyle w:val="NormalWeb"/>
        <w:spacing w:before="0" w:beforeAutospacing="0" w:after="0" w:afterAutospacing="0"/>
        <w:ind w:left="720" w:hanging="720"/>
      </w:pPr>
      <w:r>
        <w:rPr>
          <w:color w:val="000000"/>
        </w:rPr>
        <w:t>Wheeler, K. (2025, October 3). JPMorgan, OpenAI &amp; Anthropic: Evolving banking operations. AI Magazine. https://aimagazine.com/news/jpmorgan-openai-anthropic-evolving-banking-operations </w:t>
      </w:r>
    </w:p>
    <w:p w14:paraId="29A7D5AF" w14:textId="77777777" w:rsidR="00414DF5" w:rsidRDefault="00414DF5" w:rsidP="00414DF5">
      <w:pPr>
        <w:ind w:left="720" w:hanging="720"/>
      </w:pPr>
    </w:p>
    <w:p w14:paraId="26BD613C" w14:textId="77777777" w:rsidR="00414DF5" w:rsidRDefault="00414DF5" w:rsidP="00414DF5">
      <w:pPr>
        <w:pStyle w:val="NormalWeb"/>
        <w:spacing w:before="0" w:beforeAutospacing="0" w:after="0" w:afterAutospacing="0"/>
        <w:ind w:left="720" w:hanging="720"/>
      </w:pPr>
      <w:r>
        <w:rPr>
          <w:color w:val="000000"/>
        </w:rPr>
        <w:t>Zenner, K. (2025). The genesis of the EU foundation model regulation: How Brussels has adjusted the AI Act after the release of ChatGPT. In P. Hacker, A. Engel, S. Hammer, &amp; B. Mittelstadt (Eds.), The Oxford handbook of the foundations and regulation of generative AI. Oxford University Press. https://doi.org/10.1093/oxfordhb/9780198940272.013.0040 </w:t>
      </w:r>
    </w:p>
    <w:p w14:paraId="4A47F949" w14:textId="77777777" w:rsidR="00414DF5" w:rsidRDefault="00414DF5" w:rsidP="00414DF5">
      <w:pPr>
        <w:spacing w:after="240"/>
        <w:ind w:left="720" w:hanging="720"/>
      </w:pPr>
    </w:p>
    <w:p w14:paraId="46335217" w14:textId="77777777" w:rsidR="00414DF5" w:rsidRDefault="00414DF5" w:rsidP="00414DF5">
      <w:pPr>
        <w:ind w:left="720" w:hanging="720"/>
      </w:pPr>
    </w:p>
    <w:p w14:paraId="57980A6C" w14:textId="77777777" w:rsidR="00054BFB" w:rsidRPr="009D2372" w:rsidRDefault="00054BFB" w:rsidP="00414DF5">
      <w:pPr>
        <w:ind w:left="720" w:hanging="720"/>
      </w:pPr>
    </w:p>
    <w:p w14:paraId="6CBBC09D" w14:textId="77777777" w:rsidR="00054BFB" w:rsidRPr="009D2372" w:rsidRDefault="00054BFB" w:rsidP="00414DF5">
      <w:pPr>
        <w:pStyle w:val="NormalWeb"/>
        <w:spacing w:before="0" w:beforeAutospacing="0" w:after="0" w:afterAutospacing="0"/>
        <w:ind w:left="720" w:hanging="720"/>
        <w:jc w:val="center"/>
        <w:rPr>
          <w:b/>
          <w:bCs/>
        </w:rPr>
      </w:pPr>
    </w:p>
    <w:sectPr w:rsidR="00054BFB" w:rsidRPr="009D2372">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embedRegular r:id="rId1" w:fontKey="{161C27D8-4571-4041-90BC-BF7BDAB69FA7}"/>
  </w:font>
  <w:font w:name="Times New Roman">
    <w:panose1 w:val="02020603050405020304"/>
    <w:charset w:val="00"/>
    <w:family w:val="roman"/>
    <w:pitch w:val="variable"/>
    <w:sig w:usb0="E0002EFF" w:usb1="C000785B" w:usb2="00000009" w:usb3="00000000" w:csb0="000001FF" w:csb1="00000000"/>
    <w:embedRegular r:id="rId2" w:fontKey="{DE0C5B46-D6C3-8B4E-8C0B-55827B00C4B4}"/>
    <w:embedBold r:id="rId3" w:fontKey="{55274881-F7F4-154D-8F07-1B16094B579D}"/>
    <w:embedItalic r:id="rId4" w:fontKey="{13A56830-8926-2543-8A19-7A6130FF1D1F}"/>
  </w:font>
  <w:font w:name="Courier New">
    <w:panose1 w:val="02070309020205020404"/>
    <w:charset w:val="00"/>
    <w:family w:val="modern"/>
    <w:pitch w:val="fixed"/>
    <w:sig w:usb0="E0002EFF" w:usb1="C0007843" w:usb2="00000009" w:usb3="00000000" w:csb0="000001FF" w:csb1="00000000"/>
    <w:embedRegular r:id="rId5" w:fontKey="{33A3E612-DC7D-6D46-8587-11F71F566E10}"/>
  </w:font>
  <w:font w:name="Wingdings">
    <w:panose1 w:val="05000000000000000000"/>
    <w:charset w:val="4D"/>
    <w:family w:val="decorative"/>
    <w:pitch w:val="variable"/>
    <w:sig w:usb0="00000003" w:usb1="00000000" w:usb2="00000000" w:usb3="00000000" w:csb0="80000001" w:csb1="00000000"/>
    <w:embedRegular r:id="rId6" w:fontKey="{508C4F86-4050-7640-9539-F447235901A7}"/>
  </w:font>
  <w:font w:name="Aptos">
    <w:panose1 w:val="020B0004020202020204"/>
    <w:charset w:val="00"/>
    <w:family w:val="swiss"/>
    <w:pitch w:val="variable"/>
    <w:sig w:usb0="20000287" w:usb1="00000003" w:usb2="00000000" w:usb3="00000000" w:csb0="0000019F" w:csb1="00000000"/>
    <w:embedRegular r:id="rId7" w:fontKey="{06A76500-5CF8-0E41-B8F2-0FE25C01BA94}"/>
    <w:embedItalic r:id="rId8" w:fontKey="{ED7D0F9D-4C6D-334F-B0E5-43A1E169098B}"/>
  </w:font>
  <w:font w:name="Play">
    <w:altName w:val="Calibri"/>
    <w:panose1 w:val="020B0604020202020204"/>
    <w:charset w:val="00"/>
    <w:family w:val="auto"/>
    <w:pitch w:val="default"/>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embedRegular r:id="rId10" w:fontKey="{2B10510A-6210-2F43-8D1A-21FD6BDC087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C07D2"/>
    <w:multiLevelType w:val="multilevel"/>
    <w:tmpl w:val="6BF61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8601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1D8"/>
    <w:rsid w:val="00054BFB"/>
    <w:rsid w:val="000F11D8"/>
    <w:rsid w:val="00130C72"/>
    <w:rsid w:val="001E7CCF"/>
    <w:rsid w:val="00210E3F"/>
    <w:rsid w:val="002212AD"/>
    <w:rsid w:val="00244264"/>
    <w:rsid w:val="00271116"/>
    <w:rsid w:val="0028525D"/>
    <w:rsid w:val="002960D9"/>
    <w:rsid w:val="002E184F"/>
    <w:rsid w:val="003E4EC6"/>
    <w:rsid w:val="003F6A98"/>
    <w:rsid w:val="00414DF5"/>
    <w:rsid w:val="00455C43"/>
    <w:rsid w:val="00610403"/>
    <w:rsid w:val="006B3D43"/>
    <w:rsid w:val="007053E9"/>
    <w:rsid w:val="007449F4"/>
    <w:rsid w:val="0092088D"/>
    <w:rsid w:val="00980A09"/>
    <w:rsid w:val="009D2372"/>
    <w:rsid w:val="00B75236"/>
    <w:rsid w:val="00BF4FCF"/>
    <w:rsid w:val="00C414A6"/>
    <w:rsid w:val="00D14D5C"/>
    <w:rsid w:val="00E659EF"/>
    <w:rsid w:val="00E9791E"/>
    <w:rsid w:val="00F71CE3"/>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26C51633"/>
  <w15:docId w15:val="{D2A821E8-4909-454A-8AE4-DFC045C2D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zh-TW"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CCF"/>
    <w:pPr>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pPr>
      <w:keepNext/>
      <w:keepLines/>
      <w:spacing w:before="360" w:after="80" w:line="278" w:lineRule="auto"/>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line="278" w:lineRule="auto"/>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line="278" w:lineRule="auto"/>
      <w:outlineLvl w:val="2"/>
    </w:pPr>
    <w:rPr>
      <w:rFonts w:ascii="Aptos" w:eastAsia="Aptos" w:hAnsi="Aptos" w:cs="Aptos"/>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line="278" w:lineRule="auto"/>
      <w:outlineLvl w:val="3"/>
    </w:pPr>
    <w:rPr>
      <w:rFonts w:ascii="Aptos" w:eastAsia="Aptos" w:hAnsi="Aptos" w:cs="Aptos"/>
      <w:i/>
      <w:iCs/>
      <w:color w:val="0F4761"/>
    </w:rPr>
  </w:style>
  <w:style w:type="paragraph" w:styleId="Heading5">
    <w:name w:val="heading 5"/>
    <w:basedOn w:val="Normal"/>
    <w:next w:val="Normal"/>
    <w:link w:val="Heading5Char"/>
    <w:uiPriority w:val="9"/>
    <w:semiHidden/>
    <w:unhideWhenUsed/>
    <w:qFormat/>
    <w:pPr>
      <w:keepNext/>
      <w:keepLines/>
      <w:spacing w:before="80" w:after="40" w:line="278" w:lineRule="auto"/>
      <w:outlineLvl w:val="4"/>
    </w:pPr>
    <w:rPr>
      <w:rFonts w:ascii="Aptos" w:eastAsia="Aptos" w:hAnsi="Aptos" w:cs="Aptos"/>
      <w:color w:val="0F4761"/>
    </w:rPr>
  </w:style>
  <w:style w:type="paragraph" w:styleId="Heading6">
    <w:name w:val="heading 6"/>
    <w:basedOn w:val="Normal"/>
    <w:next w:val="Normal"/>
    <w:link w:val="Heading6Char"/>
    <w:uiPriority w:val="9"/>
    <w:semiHidden/>
    <w:unhideWhenUsed/>
    <w:qFormat/>
    <w:pPr>
      <w:keepNext/>
      <w:keepLines/>
      <w:spacing w:before="40" w:line="278" w:lineRule="auto"/>
      <w:outlineLvl w:val="5"/>
    </w:pPr>
    <w:rPr>
      <w:rFonts w:ascii="Aptos" w:eastAsia="Aptos" w:hAnsi="Aptos" w:cs="Aptos"/>
      <w:i/>
      <w:iCs/>
      <w:color w:val="595959"/>
    </w:rPr>
  </w:style>
  <w:style w:type="paragraph" w:styleId="Heading7">
    <w:name w:val="heading 7"/>
    <w:basedOn w:val="Normal"/>
    <w:next w:val="Normal"/>
    <w:link w:val="Heading7Char"/>
    <w:uiPriority w:val="9"/>
    <w:semiHidden/>
    <w:unhideWhenUsed/>
    <w:qFormat/>
    <w:rsid w:val="00E91AD2"/>
    <w:pPr>
      <w:keepNext/>
      <w:keepLines/>
      <w:spacing w:before="40" w:line="278" w:lineRule="auto"/>
      <w:outlineLvl w:val="6"/>
    </w:pPr>
    <w:rPr>
      <w:rFonts w:ascii="Aptos" w:eastAsiaTheme="majorEastAsia" w:hAnsi="Aptos" w:cstheme="majorBidi"/>
      <w:color w:val="595959" w:themeColor="text1" w:themeTint="A6"/>
    </w:rPr>
  </w:style>
  <w:style w:type="paragraph" w:styleId="Heading8">
    <w:name w:val="heading 8"/>
    <w:basedOn w:val="Normal"/>
    <w:next w:val="Normal"/>
    <w:link w:val="Heading8Char"/>
    <w:uiPriority w:val="9"/>
    <w:semiHidden/>
    <w:unhideWhenUsed/>
    <w:qFormat/>
    <w:rsid w:val="00E91AD2"/>
    <w:pPr>
      <w:keepNext/>
      <w:keepLines/>
      <w:spacing w:line="278" w:lineRule="auto"/>
      <w:outlineLvl w:val="7"/>
    </w:pPr>
    <w:rPr>
      <w:rFonts w:ascii="Aptos" w:eastAsiaTheme="majorEastAsia" w:hAnsi="Aptos" w:cstheme="majorBidi"/>
      <w:i/>
      <w:iCs/>
      <w:color w:val="272727" w:themeColor="text1" w:themeTint="D8"/>
    </w:rPr>
  </w:style>
  <w:style w:type="paragraph" w:styleId="Heading9">
    <w:name w:val="heading 9"/>
    <w:basedOn w:val="Normal"/>
    <w:next w:val="Normal"/>
    <w:link w:val="Heading9Char"/>
    <w:uiPriority w:val="9"/>
    <w:semiHidden/>
    <w:unhideWhenUsed/>
    <w:qFormat/>
    <w:rsid w:val="00E91AD2"/>
    <w:pPr>
      <w:keepNext/>
      <w:keepLines/>
      <w:spacing w:line="278" w:lineRule="auto"/>
      <w:outlineLvl w:val="8"/>
    </w:pPr>
    <w:rPr>
      <w:rFonts w:ascii="Aptos" w:eastAsiaTheme="majorEastAsia" w:hAnsi="Aptos"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table" w:customStyle="1" w:styleId="TableNormal1">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E91A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91A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91A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A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A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A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A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A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AD2"/>
    <w:rPr>
      <w:rFonts w:eastAsiaTheme="majorEastAsia" w:cstheme="majorBidi"/>
      <w:color w:val="272727" w:themeColor="text1" w:themeTint="D8"/>
    </w:rPr>
  </w:style>
  <w:style w:type="character" w:customStyle="1" w:styleId="TitleChar">
    <w:name w:val="Title Char"/>
    <w:basedOn w:val="DefaultParagraphFont"/>
    <w:link w:val="Title"/>
    <w:uiPriority w:val="10"/>
    <w:rsid w:val="00E91AD2"/>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E91A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AD2"/>
    <w:pPr>
      <w:spacing w:before="160" w:after="160" w:line="278" w:lineRule="auto"/>
      <w:jc w:val="center"/>
    </w:pPr>
    <w:rPr>
      <w:rFonts w:ascii="Aptos" w:eastAsia="Aptos" w:hAnsi="Aptos" w:cs="Aptos"/>
      <w:i/>
      <w:iCs/>
      <w:color w:val="404040" w:themeColor="text1" w:themeTint="BF"/>
    </w:rPr>
  </w:style>
  <w:style w:type="character" w:customStyle="1" w:styleId="QuoteChar">
    <w:name w:val="Quote Char"/>
    <w:basedOn w:val="DefaultParagraphFont"/>
    <w:link w:val="Quote"/>
    <w:uiPriority w:val="29"/>
    <w:rsid w:val="00E91AD2"/>
    <w:rPr>
      <w:i/>
      <w:iCs/>
      <w:color w:val="404040" w:themeColor="text1" w:themeTint="BF"/>
    </w:rPr>
  </w:style>
  <w:style w:type="paragraph" w:styleId="ListParagraph">
    <w:name w:val="List Paragraph"/>
    <w:basedOn w:val="Normal"/>
    <w:uiPriority w:val="34"/>
    <w:qFormat/>
    <w:rsid w:val="00E91AD2"/>
    <w:pPr>
      <w:spacing w:after="160" w:line="278" w:lineRule="auto"/>
      <w:ind w:left="720"/>
      <w:contextualSpacing/>
    </w:pPr>
    <w:rPr>
      <w:rFonts w:ascii="Aptos" w:eastAsia="Aptos" w:hAnsi="Aptos" w:cs="Aptos"/>
    </w:rPr>
  </w:style>
  <w:style w:type="character" w:styleId="IntenseEmphasis">
    <w:name w:val="Intense Emphasis"/>
    <w:basedOn w:val="DefaultParagraphFont"/>
    <w:uiPriority w:val="21"/>
    <w:qFormat/>
    <w:rsid w:val="00E91AD2"/>
    <w:rPr>
      <w:i/>
      <w:iCs/>
      <w:color w:val="0F4761" w:themeColor="accent1" w:themeShade="BF"/>
    </w:rPr>
  </w:style>
  <w:style w:type="paragraph" w:styleId="IntenseQuote">
    <w:name w:val="Intense Quote"/>
    <w:basedOn w:val="Normal"/>
    <w:next w:val="Normal"/>
    <w:link w:val="IntenseQuoteChar"/>
    <w:uiPriority w:val="30"/>
    <w:qFormat/>
    <w:rsid w:val="00E91AD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Aptos" w:eastAsia="Aptos" w:hAnsi="Aptos" w:cs="Aptos"/>
      <w:i/>
      <w:iCs/>
      <w:color w:val="0F4761" w:themeColor="accent1" w:themeShade="BF"/>
    </w:rPr>
  </w:style>
  <w:style w:type="character" w:customStyle="1" w:styleId="IntenseQuoteChar">
    <w:name w:val="Intense Quote Char"/>
    <w:basedOn w:val="DefaultParagraphFont"/>
    <w:link w:val="IntenseQuote"/>
    <w:uiPriority w:val="30"/>
    <w:rsid w:val="00E91AD2"/>
    <w:rPr>
      <w:i/>
      <w:iCs/>
      <w:color w:val="0F4761" w:themeColor="accent1" w:themeShade="BF"/>
    </w:rPr>
  </w:style>
  <w:style w:type="character" w:styleId="IntenseReference">
    <w:name w:val="Intense Reference"/>
    <w:basedOn w:val="DefaultParagraphFont"/>
    <w:uiPriority w:val="32"/>
    <w:qFormat/>
    <w:rsid w:val="00E91AD2"/>
    <w:rPr>
      <w:b/>
      <w:bCs/>
      <w:smallCaps/>
      <w:color w:val="0F4761" w:themeColor="accent1" w:themeShade="BF"/>
      <w:spacing w:val="5"/>
    </w:rPr>
  </w:style>
  <w:style w:type="paragraph" w:styleId="NormalWeb">
    <w:name w:val="Normal (Web)"/>
    <w:basedOn w:val="Normal"/>
    <w:uiPriority w:val="99"/>
    <w:unhideWhenUsed/>
    <w:rsid w:val="00CA60CD"/>
    <w:pPr>
      <w:spacing w:before="100" w:beforeAutospacing="1" w:after="100" w:afterAutospacing="1"/>
    </w:pPr>
    <w:rPr>
      <w:lang w:eastAsia="en-GB"/>
    </w:rPr>
  </w:style>
  <w:style w:type="character" w:styleId="Strong">
    <w:name w:val="Strong"/>
    <w:basedOn w:val="DefaultParagraphFont"/>
    <w:uiPriority w:val="22"/>
    <w:qFormat/>
    <w:rsid w:val="00CA60CD"/>
    <w:rPr>
      <w:b/>
      <w:bCs/>
    </w:rPr>
  </w:style>
  <w:style w:type="character" w:customStyle="1" w:styleId="apple-converted-space">
    <w:name w:val="apple-converted-space"/>
    <w:basedOn w:val="DefaultParagraphFont"/>
    <w:rsid w:val="00CA60CD"/>
  </w:style>
  <w:style w:type="character" w:styleId="Emphasis">
    <w:name w:val="Emphasis"/>
    <w:basedOn w:val="DefaultParagraphFont"/>
    <w:uiPriority w:val="20"/>
    <w:qFormat/>
    <w:rsid w:val="00CA60CD"/>
    <w:rPr>
      <w:i/>
      <w:iCs/>
    </w:rPr>
  </w:style>
  <w:style w:type="character" w:styleId="Hyperlink">
    <w:name w:val="Hyperlink"/>
    <w:basedOn w:val="DefaultParagraphFont"/>
    <w:uiPriority w:val="99"/>
    <w:unhideWhenUsed/>
    <w:rsid w:val="00CA60CD"/>
    <w:rPr>
      <w:color w:val="0000FF"/>
      <w:u w:val="single"/>
    </w:rPr>
  </w:style>
  <w:style w:type="character" w:styleId="UnresolvedMention">
    <w:name w:val="Unresolved Mention"/>
    <w:basedOn w:val="DefaultParagraphFont"/>
    <w:uiPriority w:val="99"/>
    <w:semiHidden/>
    <w:unhideWhenUsed/>
    <w:rsid w:val="0052366F"/>
    <w:rPr>
      <w:color w:val="605E5C"/>
      <w:shd w:val="clear" w:color="auto" w:fill="E1DFDD"/>
    </w:rPr>
  </w:style>
  <w:style w:type="paragraph" w:styleId="Subtitle">
    <w:name w:val="Subtitle"/>
    <w:basedOn w:val="Normal"/>
    <w:next w:val="Normal"/>
    <w:link w:val="SubtitleChar"/>
    <w:uiPriority w:val="11"/>
    <w:qFormat/>
    <w:pPr>
      <w:spacing w:after="160" w:line="278" w:lineRule="auto"/>
    </w:pPr>
    <w:rPr>
      <w:rFonts w:ascii="Aptos" w:eastAsia="Aptos" w:hAnsi="Aptos" w:cs="Aptos"/>
      <w:color w:val="595959"/>
      <w:sz w:val="28"/>
      <w:szCs w:val="28"/>
    </w:rPr>
  </w:style>
  <w:style w:type="character" w:customStyle="1" w:styleId="apple-tab-span">
    <w:name w:val="apple-tab-span"/>
    <w:basedOn w:val="DefaultParagraphFont"/>
    <w:rsid w:val="00054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KCbz7OHZsPA02BOgnDbKuBS1Qg==">CgMxLjA4AHIhMTVKeW5pWE1CWlNiSnU0LWNJc2kzcmtrZjF0cWVGbTNw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1913</Words>
  <Characters>10908</Characters>
  <Application>Microsoft Office Word</Application>
  <DocSecurity>0</DocSecurity>
  <Lines>90</Lines>
  <Paragraphs>25</Paragraphs>
  <ScaleCrop>false</ScaleCrop>
  <Company/>
  <LinksUpToDate>false</LinksUpToDate>
  <CharactersWithSpaces>12796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Corbin Spang</dc:creator>
  <cp:lastModifiedBy>Tzu-Chi James Lee</cp:lastModifiedBy>
  <cp:revision>2</cp:revision>
  <cp:lastPrinted>2026-05-26T13:30:00Z</cp:lastPrinted>
  <dcterms:created xsi:type="dcterms:W3CDTF">2026-05-31T17:18:00Z</dcterms:created>
  <dcterms:modified xsi:type="dcterms:W3CDTF">2026-05-31T17:18:00Z</dcterms:modified>
</cp:coreProperties>
</file>