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EEF44" w14:textId="77777777" w:rsidR="000F11D8" w:rsidRPr="009D2372" w:rsidRDefault="000F11D8">
      <w:pPr>
        <w:spacing w:line="360" w:lineRule="auto"/>
        <w:jc w:val="both"/>
        <w:rPr>
          <w:b/>
          <w:bCs/>
        </w:rPr>
      </w:pPr>
    </w:p>
    <w:p w14:paraId="1979E5D1" w14:textId="0A7BFEEB" w:rsidR="00414DF5" w:rsidRPr="0040475E" w:rsidRDefault="0040475E" w:rsidP="0040475E">
      <w:pPr>
        <w:spacing w:line="360" w:lineRule="auto"/>
        <w:jc w:val="center"/>
        <w:rPr>
          <w:b/>
          <w:bCs/>
          <w:color w:val="000000"/>
          <w:sz w:val="36"/>
          <w:szCs w:val="36"/>
          <w:lang w:eastAsia="en-GB"/>
        </w:rPr>
      </w:pPr>
      <w:r w:rsidRPr="0040475E">
        <w:rPr>
          <w:b/>
          <w:bCs/>
          <w:color w:val="000000"/>
          <w:sz w:val="36"/>
          <w:szCs w:val="36"/>
          <w:lang w:eastAsia="en-GB"/>
        </w:rPr>
        <w:t>Humanising AI Governance in Healthcare: From Innovation to Inclusion by Shone Surendran</w:t>
      </w:r>
    </w:p>
    <w:p w14:paraId="5DF3EFB3" w14:textId="77777777" w:rsidR="00414DF5" w:rsidRDefault="00414DF5">
      <w:pPr>
        <w:jc w:val="center"/>
        <w:rPr>
          <w:b/>
          <w:bCs/>
          <w:color w:val="000000"/>
          <w:sz w:val="32"/>
          <w:szCs w:val="32"/>
          <w:lang w:eastAsia="en-GB"/>
        </w:rPr>
      </w:pPr>
    </w:p>
    <w:p w14:paraId="451C588D" w14:textId="77777777" w:rsidR="0040475E" w:rsidRDefault="0040475E">
      <w:pPr>
        <w:jc w:val="center"/>
        <w:rPr>
          <w:b/>
          <w:bCs/>
          <w:color w:val="000000"/>
          <w:sz w:val="32"/>
          <w:szCs w:val="32"/>
          <w:lang w:eastAsia="en-GB"/>
        </w:rPr>
      </w:pPr>
    </w:p>
    <w:p w14:paraId="5BEDA6F2" w14:textId="77777777" w:rsidR="0040475E" w:rsidRDefault="0040475E">
      <w:pPr>
        <w:jc w:val="center"/>
        <w:rPr>
          <w:b/>
          <w:bCs/>
          <w:color w:val="000000"/>
          <w:sz w:val="32"/>
          <w:szCs w:val="32"/>
          <w:lang w:eastAsia="en-GB"/>
        </w:rPr>
      </w:pPr>
    </w:p>
    <w:p w14:paraId="57183E77" w14:textId="77777777" w:rsidR="00414DF5" w:rsidRPr="009D2372" w:rsidRDefault="00414DF5">
      <w:pPr>
        <w:jc w:val="center"/>
      </w:pPr>
    </w:p>
    <w:p w14:paraId="36E86CD2" w14:textId="77777777" w:rsidR="000F11D8" w:rsidRPr="009D2372" w:rsidRDefault="00000000">
      <w:pPr>
        <w:jc w:val="center"/>
      </w:pPr>
      <w:r w:rsidRPr="009D2372">
        <w:rPr>
          <w:noProof/>
        </w:rPr>
        <w:drawing>
          <wp:inline distT="114300" distB="114300" distL="114300" distR="114300" wp14:anchorId="30B0BBB8" wp14:editId="071E3F97">
            <wp:extent cx="2417986" cy="2407518"/>
            <wp:effectExtent l="0" t="0" r="0" b="0"/>
            <wp:docPr id="2" name="image1.png" descr="A red circular logo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red circular logo with white text&#10;&#10;Description automatically generated"/>
                    <pic:cNvPicPr preferRelativeResize="0"/>
                  </pic:nvPicPr>
                  <pic:blipFill>
                    <a:blip r:embed="rId6"/>
                    <a:srcRect/>
                    <a:stretch>
                      <a:fillRect/>
                    </a:stretch>
                  </pic:blipFill>
                  <pic:spPr>
                    <a:xfrm>
                      <a:off x="0" y="0"/>
                      <a:ext cx="2417986" cy="2407518"/>
                    </a:xfrm>
                    <a:prstGeom prst="rect">
                      <a:avLst/>
                    </a:prstGeom>
                    <a:ln/>
                  </pic:spPr>
                </pic:pic>
              </a:graphicData>
            </a:graphic>
          </wp:inline>
        </w:drawing>
      </w:r>
    </w:p>
    <w:p w14:paraId="0DA39121" w14:textId="77777777" w:rsidR="000F11D8" w:rsidRPr="009D2372" w:rsidRDefault="000F11D8">
      <w:pPr>
        <w:rPr>
          <w:sz w:val="28"/>
          <w:szCs w:val="28"/>
        </w:rPr>
      </w:pPr>
    </w:p>
    <w:p w14:paraId="5703547C" w14:textId="77777777" w:rsidR="000F11D8" w:rsidRPr="009D2372" w:rsidRDefault="000F11D8">
      <w:pPr>
        <w:jc w:val="center"/>
        <w:rPr>
          <w:sz w:val="28"/>
          <w:szCs w:val="28"/>
        </w:rPr>
      </w:pPr>
    </w:p>
    <w:p w14:paraId="35CD0D69" w14:textId="77777777" w:rsidR="000F11D8" w:rsidRPr="009D2372" w:rsidRDefault="000F11D8">
      <w:pPr>
        <w:rPr>
          <w:sz w:val="28"/>
          <w:szCs w:val="28"/>
        </w:rPr>
      </w:pPr>
    </w:p>
    <w:p w14:paraId="1688525C" w14:textId="77777777" w:rsidR="000F11D8" w:rsidRPr="009D2372" w:rsidRDefault="000F11D8">
      <w:pPr>
        <w:rPr>
          <w:sz w:val="28"/>
          <w:szCs w:val="28"/>
        </w:rPr>
      </w:pPr>
    </w:p>
    <w:p w14:paraId="06CC4567" w14:textId="77777777" w:rsidR="000F11D8" w:rsidRPr="009D2372" w:rsidRDefault="000F11D8">
      <w:pPr>
        <w:rPr>
          <w:sz w:val="28"/>
          <w:szCs w:val="28"/>
        </w:rPr>
      </w:pPr>
    </w:p>
    <w:p w14:paraId="658F39D0" w14:textId="77777777" w:rsidR="000F11D8" w:rsidRPr="009D2372" w:rsidRDefault="00000000">
      <w:pPr>
        <w:jc w:val="center"/>
        <w:rPr>
          <w:sz w:val="28"/>
          <w:szCs w:val="28"/>
        </w:rPr>
      </w:pPr>
      <w:r w:rsidRPr="009D2372">
        <w:rPr>
          <w:sz w:val="28"/>
          <w:szCs w:val="28"/>
        </w:rPr>
        <w:t xml:space="preserve">King’s Policy Journal </w:t>
      </w:r>
    </w:p>
    <w:p w14:paraId="42A9BFA6" w14:textId="77777777" w:rsidR="000F11D8" w:rsidRPr="009D2372" w:rsidRDefault="000F11D8">
      <w:pPr>
        <w:jc w:val="center"/>
        <w:rPr>
          <w:sz w:val="28"/>
          <w:szCs w:val="28"/>
        </w:rPr>
      </w:pPr>
    </w:p>
    <w:p w14:paraId="052A0A0A" w14:textId="77777777" w:rsidR="000F11D8" w:rsidRPr="009D2372" w:rsidRDefault="00000000">
      <w:pPr>
        <w:jc w:val="center"/>
        <w:rPr>
          <w:sz w:val="28"/>
          <w:szCs w:val="28"/>
        </w:rPr>
      </w:pPr>
      <w:r w:rsidRPr="009D2372">
        <w:rPr>
          <w:sz w:val="28"/>
          <w:szCs w:val="28"/>
        </w:rPr>
        <w:t>KCL Policy Research Centre</w:t>
      </w:r>
    </w:p>
    <w:p w14:paraId="38CFE718" w14:textId="77777777" w:rsidR="000F11D8" w:rsidRPr="009D2372" w:rsidRDefault="000F11D8">
      <w:pPr>
        <w:jc w:val="center"/>
        <w:rPr>
          <w:sz w:val="28"/>
          <w:szCs w:val="28"/>
        </w:rPr>
      </w:pPr>
    </w:p>
    <w:p w14:paraId="1AE145CF" w14:textId="77E66C07" w:rsidR="000F11D8" w:rsidRPr="009D2372" w:rsidRDefault="00000000">
      <w:pPr>
        <w:jc w:val="center"/>
        <w:rPr>
          <w:sz w:val="28"/>
          <w:szCs w:val="28"/>
        </w:rPr>
      </w:pPr>
      <w:r w:rsidRPr="009D2372">
        <w:rPr>
          <w:sz w:val="28"/>
          <w:szCs w:val="28"/>
        </w:rPr>
        <w:t xml:space="preserve">Centre for </w:t>
      </w:r>
      <w:r w:rsidR="00980A09" w:rsidRPr="009D2372">
        <w:rPr>
          <w:sz w:val="28"/>
          <w:szCs w:val="28"/>
        </w:rPr>
        <w:t>Technology and</w:t>
      </w:r>
      <w:r w:rsidR="007053E9" w:rsidRPr="009D2372">
        <w:rPr>
          <w:sz w:val="28"/>
          <w:szCs w:val="28"/>
        </w:rPr>
        <w:t xml:space="preserve"> Artificial Intelligence</w:t>
      </w:r>
    </w:p>
    <w:p w14:paraId="4F3FD19E" w14:textId="77777777" w:rsidR="000F11D8" w:rsidRPr="009D2372" w:rsidRDefault="000F11D8">
      <w:pPr>
        <w:jc w:val="center"/>
        <w:rPr>
          <w:sz w:val="28"/>
          <w:szCs w:val="28"/>
        </w:rPr>
      </w:pPr>
    </w:p>
    <w:p w14:paraId="5E5975CF" w14:textId="3EE2E217" w:rsidR="000F11D8" w:rsidRPr="009D2372" w:rsidRDefault="00000000">
      <w:pPr>
        <w:jc w:val="center"/>
        <w:rPr>
          <w:sz w:val="28"/>
          <w:szCs w:val="28"/>
        </w:rPr>
      </w:pPr>
      <w:r w:rsidRPr="009D2372">
        <w:rPr>
          <w:sz w:val="28"/>
          <w:szCs w:val="28"/>
        </w:rPr>
        <w:t xml:space="preserve">Word Count: </w:t>
      </w:r>
      <w:r w:rsidR="0040475E">
        <w:rPr>
          <w:sz w:val="28"/>
          <w:szCs w:val="28"/>
        </w:rPr>
        <w:t>2423</w:t>
      </w:r>
    </w:p>
    <w:p w14:paraId="2909771E" w14:textId="77777777" w:rsidR="000F11D8" w:rsidRPr="009D2372" w:rsidRDefault="000F11D8">
      <w:pPr>
        <w:jc w:val="center"/>
        <w:rPr>
          <w:sz w:val="28"/>
          <w:szCs w:val="28"/>
        </w:rPr>
      </w:pPr>
    </w:p>
    <w:p w14:paraId="6B2B8978" w14:textId="4560DEEE" w:rsidR="000F11D8" w:rsidRPr="009D2372" w:rsidRDefault="002E184F">
      <w:pPr>
        <w:jc w:val="center"/>
        <w:rPr>
          <w:sz w:val="28"/>
          <w:szCs w:val="28"/>
        </w:rPr>
      </w:pPr>
      <w:r w:rsidRPr="009D2372">
        <w:rPr>
          <w:sz w:val="28"/>
          <w:szCs w:val="28"/>
        </w:rPr>
        <w:t>May</w:t>
      </w:r>
      <w:r w:rsidR="00000000" w:rsidRPr="009D2372">
        <w:rPr>
          <w:sz w:val="28"/>
          <w:szCs w:val="28"/>
        </w:rPr>
        <w:t xml:space="preserve"> 2026</w:t>
      </w:r>
    </w:p>
    <w:p w14:paraId="0045BD0E" w14:textId="77777777" w:rsidR="000F11D8" w:rsidRPr="009D2372" w:rsidRDefault="000F11D8">
      <w:pPr>
        <w:spacing w:line="360" w:lineRule="auto"/>
        <w:ind w:firstLine="720"/>
        <w:jc w:val="both"/>
        <w:rPr>
          <w:b/>
          <w:bCs/>
        </w:rPr>
      </w:pPr>
    </w:p>
    <w:p w14:paraId="0E726A53" w14:textId="77777777" w:rsidR="000F11D8" w:rsidRPr="009D2372" w:rsidRDefault="000F11D8">
      <w:pPr>
        <w:spacing w:line="360" w:lineRule="auto"/>
        <w:ind w:firstLine="720"/>
        <w:jc w:val="both"/>
        <w:rPr>
          <w:b/>
          <w:bCs/>
        </w:rPr>
      </w:pPr>
    </w:p>
    <w:p w14:paraId="5665BA62" w14:textId="77777777" w:rsidR="000F11D8" w:rsidRPr="009D2372" w:rsidRDefault="000F11D8">
      <w:pPr>
        <w:spacing w:line="360" w:lineRule="auto"/>
        <w:ind w:firstLine="720"/>
        <w:jc w:val="both"/>
        <w:rPr>
          <w:b/>
          <w:bCs/>
        </w:rPr>
      </w:pPr>
    </w:p>
    <w:p w14:paraId="17AC2DB5" w14:textId="77777777" w:rsidR="000F11D8" w:rsidRPr="009D2372" w:rsidRDefault="000F11D8">
      <w:pPr>
        <w:spacing w:line="360" w:lineRule="auto"/>
        <w:ind w:firstLine="720"/>
        <w:jc w:val="both"/>
        <w:rPr>
          <w:b/>
          <w:bCs/>
        </w:rPr>
      </w:pPr>
    </w:p>
    <w:p w14:paraId="43623838" w14:textId="77777777" w:rsidR="000F11D8" w:rsidRPr="009D2372" w:rsidRDefault="000F11D8">
      <w:pPr>
        <w:spacing w:line="360" w:lineRule="auto"/>
        <w:ind w:firstLine="720"/>
        <w:jc w:val="both"/>
        <w:rPr>
          <w:b/>
          <w:bCs/>
        </w:rPr>
      </w:pPr>
    </w:p>
    <w:p w14:paraId="0BA0228C" w14:textId="77777777" w:rsidR="00414DF5" w:rsidRDefault="00414DF5" w:rsidP="00414DF5"/>
    <w:p w14:paraId="201B8037" w14:textId="77777777" w:rsidR="0040475E" w:rsidRPr="0040475E" w:rsidRDefault="0040475E" w:rsidP="0040475E">
      <w:pPr>
        <w:pStyle w:val="Heading2"/>
        <w:jc w:val="center"/>
        <w:rPr>
          <w:rFonts w:ascii="Times New Roman" w:hAnsi="Times New Roman" w:cs="Times New Roman"/>
          <w:b/>
          <w:bCs/>
          <w:color w:val="000000" w:themeColor="text1"/>
          <w:sz w:val="24"/>
          <w:szCs w:val="24"/>
        </w:rPr>
      </w:pPr>
      <w:bookmarkStart w:id="0" w:name="_Toc230252757"/>
      <w:r w:rsidRPr="0040475E">
        <w:rPr>
          <w:rFonts w:ascii="Times New Roman" w:hAnsi="Times New Roman" w:cs="Times New Roman"/>
          <w:b/>
          <w:bCs/>
          <w:color w:val="000000" w:themeColor="text1"/>
          <w:sz w:val="24"/>
          <w:szCs w:val="24"/>
        </w:rPr>
        <w:lastRenderedPageBreak/>
        <w:t>Humanising AI Governance in Healthcare: From Innovation to Inclusion by Shone Surendran</w:t>
      </w:r>
      <w:bookmarkEnd w:id="0"/>
    </w:p>
    <w:p w14:paraId="5A129412" w14:textId="77777777" w:rsidR="0040475E" w:rsidRPr="00E0786B" w:rsidRDefault="0040475E" w:rsidP="0040475E">
      <w:pPr>
        <w:spacing w:line="360" w:lineRule="auto"/>
        <w:rPr>
          <w:sz w:val="22"/>
          <w:szCs w:val="22"/>
        </w:rPr>
      </w:pPr>
      <w:r w:rsidRPr="00E0786B">
        <w:rPr>
          <w:b/>
          <w:bCs/>
          <w:sz w:val="22"/>
          <w:szCs w:val="22"/>
        </w:rPr>
        <w:t xml:space="preserve">Introduction </w:t>
      </w:r>
    </w:p>
    <w:p w14:paraId="15C76B6E" w14:textId="77777777" w:rsidR="0040475E" w:rsidRPr="00E0786B" w:rsidRDefault="0040475E" w:rsidP="0040475E">
      <w:pPr>
        <w:spacing w:line="360" w:lineRule="auto"/>
        <w:ind w:firstLine="720"/>
        <w:jc w:val="both"/>
        <w:rPr>
          <w:sz w:val="22"/>
          <w:szCs w:val="22"/>
        </w:rPr>
      </w:pPr>
      <w:r w:rsidRPr="00E0786B">
        <w:rPr>
          <w:sz w:val="22"/>
          <w:szCs w:val="22"/>
        </w:rPr>
        <w:t xml:space="preserve">Artificial intelligence (AI) is rapidly transforming healthcare systems worldwide, offering unprecedented opportunities to improve diagnostic accuracy, personalise treatment, and expand access to care. Alongside these developments, however, AI-driven interventions risk reproducing systemic biases and deepening health inequities if their governance remains critically unexamined. This policy analysis critically evaluates AI governance policies and frameworks shaping AI integration in healthcare, with a specific focus on health and digital health equity. It examines how existing policies—such as the European Union’s Apply AI Strategy, WHO’s </w:t>
      </w:r>
      <w:r w:rsidRPr="00E0786B">
        <w:rPr>
          <w:i/>
          <w:iCs/>
          <w:sz w:val="22"/>
          <w:szCs w:val="22"/>
        </w:rPr>
        <w:t>Ethics and Governance of AI for Health</w:t>
      </w:r>
      <w:r w:rsidRPr="00E0786B">
        <w:rPr>
          <w:b/>
          <w:bCs/>
          <w:sz w:val="22"/>
          <w:szCs w:val="22"/>
        </w:rPr>
        <w:t>,</w:t>
      </w:r>
      <w:r w:rsidRPr="00E0786B">
        <w:rPr>
          <w:sz w:val="22"/>
          <w:szCs w:val="22"/>
        </w:rPr>
        <w:t xml:space="preserve"> and other selected UK strategies by Medicines and Healthcare products Regulatory Agency (MHRA, 2025) and Department of Health and Social Care (DHSC, 2025)</w:t>
      </w:r>
      <w:r w:rsidRPr="00E0786B">
        <w:rPr>
          <w:b/>
          <w:bCs/>
          <w:sz w:val="22"/>
          <w:szCs w:val="22"/>
        </w:rPr>
        <w:t>—</w:t>
      </w:r>
      <w:r w:rsidRPr="00E0786B">
        <w:rPr>
          <w:sz w:val="22"/>
          <w:szCs w:val="22"/>
        </w:rPr>
        <w:t>address these issues across global, European, and national perspectives.</w:t>
      </w:r>
    </w:p>
    <w:p w14:paraId="1E711C3A" w14:textId="77777777" w:rsidR="0040475E" w:rsidRPr="00E0786B" w:rsidRDefault="0040475E" w:rsidP="0040475E">
      <w:pPr>
        <w:spacing w:line="360" w:lineRule="auto"/>
        <w:ind w:firstLine="720"/>
        <w:jc w:val="both"/>
        <w:rPr>
          <w:sz w:val="22"/>
          <w:szCs w:val="22"/>
        </w:rPr>
      </w:pPr>
      <w:r w:rsidRPr="00E0786B">
        <w:rPr>
          <w:sz w:val="22"/>
          <w:szCs w:val="22"/>
        </w:rPr>
        <w:t>Through a critical examination of these policies and frameworks through an equity lens, the analysis aims to identify gaps and challenges that may perpetuate exclusion and serve as barriers to more equitable governance</w:t>
      </w:r>
      <w:r w:rsidRPr="00E0786B">
        <w:rPr>
          <w:b/>
          <w:bCs/>
          <w:sz w:val="22"/>
          <w:szCs w:val="22"/>
        </w:rPr>
        <w:t>.</w:t>
      </w:r>
      <w:r w:rsidRPr="00E0786B">
        <w:rPr>
          <w:sz w:val="22"/>
          <w:szCs w:val="22"/>
        </w:rPr>
        <w:t xml:space="preserve"> Current AI governance policies in healthcare often reflect Western epistemologies and biomedical hegemonies, privileging narrow technical solutions over inclusive, culturally responsive approaches. These epistemic injustices (Fricker, 2008) manifest in areas such as AI literacy, health communication, and medical education, undermining equitable patient–practitioner dialogue and limiting the potential for concordant care. Beyond technical safeguards, this essay considers how AI governance policies and frameworks address these issues, whether they fall short, and the potential institutional and cultural reforms that foreground community engagement and diverse ways of knowing. The present policy analysis aims to evaluate gaps, barriers, and tensions between AI innovation and community inclusion, and to propose actionable recommendations for approaches to AI-driven healthcare and governance strategies that offer viable pathways to equitable, accessible, and socioculturally inclusive health systems.</w:t>
      </w:r>
    </w:p>
    <w:p w14:paraId="7454988F" w14:textId="77777777" w:rsidR="0040475E" w:rsidRPr="00E0786B" w:rsidRDefault="0040475E" w:rsidP="0040475E">
      <w:pPr>
        <w:spacing w:line="360" w:lineRule="auto"/>
        <w:rPr>
          <w:sz w:val="22"/>
          <w:szCs w:val="22"/>
        </w:rPr>
      </w:pPr>
      <w:r w:rsidRPr="00E0786B">
        <w:rPr>
          <w:b/>
          <w:bCs/>
          <w:sz w:val="22"/>
          <w:szCs w:val="22"/>
        </w:rPr>
        <w:t>Policy Context and Frameworks</w:t>
      </w:r>
    </w:p>
    <w:p w14:paraId="6C6DAEB1" w14:textId="77777777" w:rsidR="0040475E" w:rsidRPr="00E0786B" w:rsidRDefault="0040475E" w:rsidP="0040475E">
      <w:pPr>
        <w:spacing w:line="360" w:lineRule="auto"/>
        <w:ind w:firstLine="720"/>
        <w:jc w:val="both"/>
        <w:rPr>
          <w:sz w:val="22"/>
          <w:szCs w:val="22"/>
        </w:rPr>
      </w:pPr>
      <w:r w:rsidRPr="00E0786B">
        <w:rPr>
          <w:sz w:val="22"/>
          <w:szCs w:val="22"/>
        </w:rPr>
        <w:t>The governance of artificial intelligence (AI) in healthcare is shaped by a complex interplay of global, regional, and national policies, compounded by ethical frameworks that seek to ensure transparency, accountability, and equity. Together, these approaches set out the conditions under which AI is to be deployed in health systems and the subsequent governance systems to be implemented. However, these arrangements present important limitations and tensions.</w:t>
      </w:r>
    </w:p>
    <w:p w14:paraId="46D3A92C" w14:textId="77777777" w:rsidR="0040475E" w:rsidRPr="00E0786B" w:rsidRDefault="0040475E" w:rsidP="0040475E">
      <w:pPr>
        <w:spacing w:line="360" w:lineRule="auto"/>
        <w:ind w:firstLine="720"/>
        <w:jc w:val="both"/>
        <w:rPr>
          <w:sz w:val="22"/>
          <w:szCs w:val="22"/>
        </w:rPr>
      </w:pPr>
      <w:r w:rsidRPr="00E0786B">
        <w:rPr>
          <w:sz w:val="22"/>
          <w:szCs w:val="22"/>
        </w:rPr>
        <w:t xml:space="preserve">At the global level, the WHO’s </w:t>
      </w:r>
      <w:r w:rsidRPr="00E0786B">
        <w:rPr>
          <w:i/>
          <w:iCs/>
          <w:sz w:val="22"/>
          <w:szCs w:val="22"/>
        </w:rPr>
        <w:t>Ethics and Governance of Artificial Intelligence for Health</w:t>
      </w:r>
      <w:r w:rsidRPr="00E0786B">
        <w:rPr>
          <w:sz w:val="22"/>
          <w:szCs w:val="22"/>
        </w:rPr>
        <w:t xml:space="preserve"> </w:t>
      </w:r>
      <w:proofErr w:type="gramStart"/>
      <w:r w:rsidRPr="00E0786B">
        <w:rPr>
          <w:sz w:val="22"/>
          <w:szCs w:val="22"/>
        </w:rPr>
        <w:t>provides</w:t>
      </w:r>
      <w:proofErr w:type="gramEnd"/>
      <w:r w:rsidRPr="00E0786B">
        <w:rPr>
          <w:sz w:val="22"/>
          <w:szCs w:val="22"/>
        </w:rPr>
        <w:t xml:space="preserve"> foundational principles for ethical AI use, emphasising transparency, inclusivity, and accountability (World Health Organization [WHO], 2021). While influential, its non-binding status and lack of enforcement mechanisms limit its impact, particularly in low-resource settings. At the regional and European levels, the EU Artificial Intelligence Act represents a landmark legislative effort, and the </w:t>
      </w:r>
      <w:r w:rsidRPr="00E0786B">
        <w:rPr>
          <w:sz w:val="22"/>
          <w:szCs w:val="22"/>
        </w:rPr>
        <w:lastRenderedPageBreak/>
        <w:t>EU Apply AI Strategy provides the implementation strategy for this work in practice. The EU, through the AI Act and Apply AI Strategy related governance mechanisms, addresses critical issues regarding institutional and patient safeguarding. However, these policies and the healthcare sector continue to lack specific provisions and guidance on addressing equity issues, such as gender, ethnicity, other protected characteristics (Equality Act, 2010), intersectionality, and patient beliefs and worldviews. Such issues raise concerns regarding AI governance policies and their capacity, or lack of, in addressing systemic biases in healthcare institutions and practices. In the UK, a unified front is yet to be observed. While many local and regional trusts have their own policies, a clear UK government-led strategy is pending. This has been compounded by rising concerns regarding the UK AI Healthcare strategy in comparison with European and the world more broadly</w:t>
      </w:r>
      <w:r w:rsidRPr="00E0786B">
        <w:rPr>
          <w:b/>
          <w:bCs/>
          <w:sz w:val="22"/>
          <w:szCs w:val="22"/>
        </w:rPr>
        <w:t xml:space="preserve">. </w:t>
      </w:r>
      <w:r w:rsidRPr="00E0786B">
        <w:rPr>
          <w:sz w:val="22"/>
          <w:szCs w:val="22"/>
        </w:rPr>
        <w:t xml:space="preserve">These very issues spotlight the significance of AI governance and factors that influence policy and the ways in which institutional decision-making and practices are influenced. </w:t>
      </w:r>
    </w:p>
    <w:p w14:paraId="410DD3FA" w14:textId="77777777" w:rsidR="0040475E" w:rsidRPr="00E0786B" w:rsidRDefault="0040475E" w:rsidP="0040475E">
      <w:pPr>
        <w:spacing w:line="360" w:lineRule="auto"/>
        <w:ind w:firstLine="720"/>
        <w:jc w:val="both"/>
        <w:rPr>
          <w:sz w:val="22"/>
          <w:szCs w:val="22"/>
        </w:rPr>
      </w:pPr>
      <w:r w:rsidRPr="00E0786B">
        <w:rPr>
          <w:sz w:val="22"/>
          <w:szCs w:val="22"/>
        </w:rPr>
        <w:t xml:space="preserve">The Medicines and Healthcare products Regulatory Agency (MHRA) guidance on software and AI as a medical device sets regulatory pathways for AI technologies, prioritising patient safety through risk-based classification (Medicines and Healthcare products Regulatory Agency [MHRA], 2025). While essential for trust, equity, bias audits, and monitoring of distributional impacts remain underdeveloped (McGrath, 2024; Health Foundation, 2024). Although governance emphasises data protection, privacy, and security, this does little to address mistrust in communities affected by historical bias. Despite expanding policy frameworks, UK AI governance remains reactive and fragmented, </w:t>
      </w:r>
      <w:proofErr w:type="gramStart"/>
      <w:r w:rsidRPr="00E0786B">
        <w:rPr>
          <w:sz w:val="22"/>
          <w:szCs w:val="22"/>
        </w:rPr>
        <w:t>lagging behind</w:t>
      </w:r>
      <w:proofErr w:type="gramEnd"/>
      <w:r w:rsidRPr="00E0786B">
        <w:rPr>
          <w:sz w:val="22"/>
          <w:szCs w:val="22"/>
        </w:rPr>
        <w:t xml:space="preserve"> rapid adoption. Health systems face pressure to deploy AI amid workforce gaps, while stakeholders navigate unclear responsibilities (National Health Service England, 2024). The government announcement to re-write the regulatory rulebook signals current systems are inadequate. Without a coherent strategy, claims to become “the most AI-enabled healthcare system in the world” (MHRA, 2025b) sit uncomfortably alongside weak coordination, limited ethical guidance, and insufficient attention to equity and socio-digital harms. The critical question this analysis aims to address is: To what extent do current AI governance frameworks address, or inadvertently reproduce, social, cultural, and health inequalities in the design and development of AI interventions and their integration into healthcare?</w:t>
      </w:r>
    </w:p>
    <w:p w14:paraId="4A89F33D" w14:textId="77777777" w:rsidR="0040475E" w:rsidRPr="00E0786B" w:rsidRDefault="0040475E" w:rsidP="0040475E">
      <w:pPr>
        <w:spacing w:line="360" w:lineRule="auto"/>
        <w:rPr>
          <w:sz w:val="22"/>
          <w:szCs w:val="22"/>
        </w:rPr>
      </w:pPr>
      <w:r w:rsidRPr="00E0786B">
        <w:rPr>
          <w:b/>
          <w:bCs/>
          <w:sz w:val="22"/>
          <w:szCs w:val="22"/>
        </w:rPr>
        <w:t>Analysis of Key Issues</w:t>
      </w:r>
    </w:p>
    <w:p w14:paraId="294547B3" w14:textId="77777777" w:rsidR="0040475E" w:rsidRPr="00E0786B" w:rsidRDefault="0040475E" w:rsidP="0040475E">
      <w:pPr>
        <w:spacing w:line="360" w:lineRule="auto"/>
        <w:ind w:firstLine="720"/>
        <w:jc w:val="both"/>
        <w:rPr>
          <w:sz w:val="22"/>
          <w:szCs w:val="22"/>
        </w:rPr>
      </w:pPr>
      <w:r w:rsidRPr="00E0786B">
        <w:rPr>
          <w:sz w:val="22"/>
          <w:szCs w:val="22"/>
        </w:rPr>
        <w:t>The WHO, EU, and UK AI governance in healthcare widely endorse transparency, accountability, and inclusivity. The WHO with its non-binding guidance leaves implementation to national actors. The EU combines innovation investment with safeguards such as the AI Act [REF]. In contrast, UK governance is less coordinated, relying on guidance and pilot programmes rather than a unified strategy. This patchwork risks misalignment between rapid AI development and equitable deployment, leading to uneven implementation despite commitments to “responsible” AI.</w:t>
      </w:r>
    </w:p>
    <w:p w14:paraId="61DC5E04" w14:textId="77777777" w:rsidR="0040475E" w:rsidRPr="00E0786B" w:rsidRDefault="0040475E" w:rsidP="0040475E">
      <w:pPr>
        <w:spacing w:line="360" w:lineRule="auto"/>
        <w:rPr>
          <w:sz w:val="22"/>
          <w:szCs w:val="22"/>
        </w:rPr>
      </w:pPr>
      <w:r w:rsidRPr="00E0786B">
        <w:rPr>
          <w:b/>
          <w:bCs/>
          <w:sz w:val="22"/>
          <w:szCs w:val="22"/>
        </w:rPr>
        <w:t>Towards Equitable AI Governance and Frameworks: Gaps and Opportunities</w:t>
      </w:r>
    </w:p>
    <w:p w14:paraId="5E0F9DF0" w14:textId="77777777" w:rsidR="0040475E" w:rsidRPr="00E0786B" w:rsidRDefault="0040475E" w:rsidP="0040475E">
      <w:pPr>
        <w:spacing w:line="360" w:lineRule="auto"/>
        <w:ind w:firstLine="720"/>
        <w:jc w:val="both"/>
        <w:rPr>
          <w:sz w:val="22"/>
          <w:szCs w:val="22"/>
        </w:rPr>
      </w:pPr>
      <w:r w:rsidRPr="00E0786B">
        <w:rPr>
          <w:sz w:val="22"/>
          <w:szCs w:val="22"/>
        </w:rPr>
        <w:lastRenderedPageBreak/>
        <w:t xml:space="preserve">AI governance in healthcare has expanded rapidly, but gaps remain in translating ethical principles into equitable practice. Frameworks emphasise ethics, accountability, transparency, and equity, operationalising human oversight, safety, fairness, non-discrimination, privacy, data protection, and human-centred design. However, equity is often invoked but rarely implemented. Governance assumes shared understandings of risk, overlooking diverse lived experiences, risking epistemic injustice and health inequities. This reflects reliance on Western epistemologies and biomedical </w:t>
      </w:r>
      <w:proofErr w:type="gramStart"/>
      <w:r w:rsidRPr="00E0786B">
        <w:rPr>
          <w:sz w:val="22"/>
          <w:szCs w:val="22"/>
        </w:rPr>
        <w:t>hegemonies ,</w:t>
      </w:r>
      <w:proofErr w:type="gramEnd"/>
      <w:r w:rsidRPr="00E0786B">
        <w:rPr>
          <w:sz w:val="22"/>
          <w:szCs w:val="22"/>
        </w:rPr>
        <w:t xml:space="preserve"> with limited recognition of sociocultural diversity and epistemic pluralism, shaping AI literacy, communication, and education. Frameworks also overlook who sets priorities and accountability. Without this, governance may sustain inequities rather than improve care. The opportunity is to embed equity metrics, participatory approaches, and epistemic diversity to reconfigure governance beyond technical risk management. While current systems address institutional safety, limited attention to sociocultural and epistemic pluralism weakens responses to structural inequalities. Without bias audits and disaggregated monitoring, benefits may cluster in “pockets of excellence,” widening inequities (Health Foundation, 2024). Equity and social justice are therefore central to effective AI governance.</w:t>
      </w:r>
    </w:p>
    <w:p w14:paraId="182ADBE7" w14:textId="77777777" w:rsidR="0040475E" w:rsidRPr="00E0786B" w:rsidRDefault="0040475E" w:rsidP="0040475E">
      <w:pPr>
        <w:spacing w:line="360" w:lineRule="auto"/>
        <w:rPr>
          <w:sz w:val="22"/>
          <w:szCs w:val="22"/>
        </w:rPr>
      </w:pPr>
      <w:r w:rsidRPr="00E0786B">
        <w:rPr>
          <w:b/>
          <w:bCs/>
          <w:sz w:val="22"/>
          <w:szCs w:val="22"/>
        </w:rPr>
        <w:t xml:space="preserve">Health Literacy, Language and Cultural Understanding </w:t>
      </w:r>
    </w:p>
    <w:p w14:paraId="3F42ECFB" w14:textId="77777777" w:rsidR="0040475E" w:rsidRPr="00E0786B" w:rsidRDefault="0040475E" w:rsidP="0040475E">
      <w:pPr>
        <w:spacing w:line="360" w:lineRule="auto"/>
        <w:ind w:firstLine="720"/>
        <w:jc w:val="both"/>
        <w:rPr>
          <w:sz w:val="22"/>
          <w:szCs w:val="22"/>
        </w:rPr>
      </w:pPr>
      <w:r w:rsidRPr="00E0786B">
        <w:rPr>
          <w:sz w:val="22"/>
          <w:szCs w:val="22"/>
        </w:rPr>
        <w:t xml:space="preserve">Health literacy is increasingly framed within UK AI medical device regulation as a core safety requirement, rather than a peripheral ethical concern. This global framing emphasises informed consent, transparency, and trust as ethical preconditions for AI use. WHO guidance provides the normative foundation, that individuals should be able to understand the role AI systems play in their care (WHO, 2021, p. 12) and stresses modern health literacy must include technology and enable patients and clinicians to interpret AI outputs and limitations (WHO, 2021, p. 46). At the European level, the Apply AI Strategy acknowledges that limited AI literacy and skills among healthcare professionals remain a significant barrier to adoption (European Commission, 2025, p. 3). Through its emphasis on transparency, explainability, and interpretability, MHRA treats clarity not merely as good practice but as a condition for appropriate evidence generation and safe use (2025, p. 4). In this way, UK policy operationalises health literacy through explicit regulatory expectations distributed across manufacturers, regulators, and clinicians, rather than resting solely with patients. This tight coupling between compliance, regulatory obligations and intelligibility, links to issues of language and culture.  </w:t>
      </w:r>
    </w:p>
    <w:p w14:paraId="058A3EA4" w14:textId="77777777" w:rsidR="0040475E" w:rsidRPr="00E0786B" w:rsidRDefault="0040475E" w:rsidP="0040475E">
      <w:pPr>
        <w:spacing w:line="360" w:lineRule="auto"/>
        <w:ind w:firstLine="720"/>
        <w:jc w:val="both"/>
        <w:rPr>
          <w:sz w:val="22"/>
          <w:szCs w:val="22"/>
        </w:rPr>
      </w:pPr>
      <w:r w:rsidRPr="00E0786B">
        <w:rPr>
          <w:sz w:val="22"/>
          <w:szCs w:val="22"/>
        </w:rPr>
        <w:t xml:space="preserve">Language and cultural understanding are addressed in a similarly pragmatic manner within UK guidance. WHO highlights that lack of translation and culturally narrow datasets can result in AI systems that are unusable or exclusionary for certain populations (WHO, 2021, p. 49). However, the warning rather turning to the systemic inequities and disparities, focuses on potential </w:t>
      </w:r>
      <w:r w:rsidRPr="00E0786B">
        <w:rPr>
          <w:i/>
          <w:iCs/>
          <w:sz w:val="22"/>
          <w:szCs w:val="22"/>
        </w:rPr>
        <w:t>digital</w:t>
      </w:r>
      <w:r w:rsidRPr="00E0786B">
        <w:rPr>
          <w:sz w:val="22"/>
          <w:szCs w:val="22"/>
        </w:rPr>
        <w:t xml:space="preserve"> divide which may serve to reinforce exclusion along linguistic and cultural lines (WHO, 2021, p. 34). EU initiatives promoting multilingual AI technologies and culturally adaptive design provide a strategic backdrop (European Commission, 2025, p. 11), but UK regulation uniquely embeds language and culture within AI safety oversight. MHRA guidance reframes language and cultural variation concerns </w:t>
      </w:r>
      <w:r w:rsidRPr="00E0786B">
        <w:rPr>
          <w:sz w:val="22"/>
          <w:szCs w:val="22"/>
        </w:rPr>
        <w:lastRenderedPageBreak/>
        <w:t xml:space="preserve">as risks to generalisability and bias, requiring manufacturers to demonstrate that performance is maintained across the intended use population throughout the product lifecycle (MHRA, 2025, pp. 6–7), while DHSC underscores the need for context‑specific validation prior to deployment (DHSC, 2025, p. 9). Together, these frameworks converge on the view that health literacy, language, and culture are central determinants of safety, trust, and equitable AI </w:t>
      </w:r>
      <w:r w:rsidRPr="00E0786B">
        <w:rPr>
          <w:i/>
          <w:iCs/>
          <w:sz w:val="22"/>
          <w:szCs w:val="22"/>
        </w:rPr>
        <w:t>deployment</w:t>
      </w:r>
      <w:r w:rsidRPr="00E0786B">
        <w:rPr>
          <w:sz w:val="22"/>
          <w:szCs w:val="22"/>
        </w:rPr>
        <w:t xml:space="preserve">, rather consideration of patient communities. I therefore turn to consider the role clinical communication and trust play in AI deployment, acceptance and governance. </w:t>
      </w:r>
    </w:p>
    <w:p w14:paraId="2391CACF" w14:textId="77777777" w:rsidR="0040475E" w:rsidRPr="005E6AEA" w:rsidRDefault="0040475E" w:rsidP="0040475E">
      <w:pPr>
        <w:spacing w:line="360" w:lineRule="auto"/>
        <w:rPr>
          <w:b/>
          <w:bCs/>
          <w:sz w:val="22"/>
          <w:szCs w:val="22"/>
        </w:rPr>
      </w:pPr>
      <w:r w:rsidRPr="005E6AEA">
        <w:rPr>
          <w:b/>
          <w:bCs/>
          <w:sz w:val="22"/>
          <w:szCs w:val="22"/>
        </w:rPr>
        <w:t>Clinical Communication and Trust Dynamics</w:t>
      </w:r>
    </w:p>
    <w:p w14:paraId="2B1E27A4" w14:textId="77777777" w:rsidR="0040475E" w:rsidRPr="00E0786B" w:rsidRDefault="0040475E" w:rsidP="0040475E">
      <w:pPr>
        <w:spacing w:line="360" w:lineRule="auto"/>
        <w:ind w:firstLine="720"/>
        <w:jc w:val="both"/>
        <w:rPr>
          <w:sz w:val="22"/>
          <w:szCs w:val="22"/>
        </w:rPr>
      </w:pPr>
      <w:r w:rsidRPr="00E0786B">
        <w:rPr>
          <w:sz w:val="22"/>
          <w:szCs w:val="22"/>
        </w:rPr>
        <w:t xml:space="preserve">Trust is treated across all frameworks as a necessary condition for legitimate and safe AI use in healthcare, but UK guidance places particular emphasis on how trust is maintained over time through regulation and oversight. While the WHO frames trust as ethically grounded in transparency and </w:t>
      </w:r>
      <w:proofErr w:type="gramStart"/>
      <w:r w:rsidRPr="00E0786B">
        <w:rPr>
          <w:sz w:val="22"/>
          <w:szCs w:val="22"/>
        </w:rPr>
        <w:t>accountability  (</w:t>
      </w:r>
      <w:proofErr w:type="gramEnd"/>
      <w:r w:rsidRPr="00E0786B">
        <w:rPr>
          <w:sz w:val="22"/>
          <w:szCs w:val="22"/>
        </w:rPr>
        <w:t xml:space="preserve">WHO, 2021, pp. 19, 64), the EU treats trustworthiness as a prerequisite for AI uptake, noting that uncertainty and lack of guidance can slow adoption (European Commission, 2025, p. 18). UK policy translates transparency and accountability principles into regulatory mechanisms. DHSC stresses that regulatory processes for AI as a medical device must involve adequate explanation for the public and patients to support trust in the system (DHSC, 2025, p. 11). MHRA reinforces this through requirements for transparency and accountability, positioning trust as something actively produced through vigilance reporting and oversight rather than assumed (MHRA, 2025, pp. 6–7). Although, trust is acknowledged as critical issue, key concerns </w:t>
      </w:r>
      <w:proofErr w:type="gramStart"/>
      <w:r w:rsidRPr="00E0786B">
        <w:rPr>
          <w:sz w:val="22"/>
          <w:szCs w:val="22"/>
        </w:rPr>
        <w:t>remains</w:t>
      </w:r>
      <w:proofErr w:type="gramEnd"/>
      <w:r w:rsidRPr="00E0786B">
        <w:rPr>
          <w:sz w:val="22"/>
          <w:szCs w:val="22"/>
        </w:rPr>
        <w:t xml:space="preserve"> at the institutional level regarding risk and security while largely neglect issues and concerns regarding systemic exclusions, bias and diagnostic inequities. </w:t>
      </w:r>
    </w:p>
    <w:p w14:paraId="3EE37A26" w14:textId="77777777" w:rsidR="0040475E" w:rsidRPr="00E0786B" w:rsidRDefault="0040475E" w:rsidP="0040475E">
      <w:pPr>
        <w:spacing w:line="360" w:lineRule="auto"/>
        <w:ind w:firstLine="720"/>
        <w:jc w:val="both"/>
        <w:rPr>
          <w:sz w:val="22"/>
          <w:szCs w:val="22"/>
        </w:rPr>
      </w:pPr>
      <w:r w:rsidRPr="00E0786B">
        <w:rPr>
          <w:sz w:val="22"/>
          <w:szCs w:val="22"/>
        </w:rPr>
        <w:t xml:space="preserve">Clinical communication is central to these trust dynamics as exemplified by DHSC focus on public engagement. WHO emphasises that clinicians must be able to communicate risks, predictions, and trade‑offs and as vital to the practitioner–patient relationship (WHO, 2021, pp. 24, 40). EU frameworks as with trust that focused on uptake, issues of communication are aimed aims at a system level that promoting stakeholder engagement and responsible deployment (European Commission, 2025, p. 12). MHRA stipulates that AI systems must account for the understanding of the intended user and support safe human–AI interaction through interpretability (MHRA, 2025, pp. 4, 7). DHSC complements this with commitments to plain‑English summaries and patient‑facing explanations to facilitate informed dialogue (DHSC, 2025, p. 12). Collectively, these approaches position effective clinical communication as the practical </w:t>
      </w:r>
      <w:r w:rsidRPr="00E0786B">
        <w:rPr>
          <w:i/>
          <w:iCs/>
          <w:sz w:val="22"/>
          <w:szCs w:val="22"/>
        </w:rPr>
        <w:t xml:space="preserve">means </w:t>
      </w:r>
      <w:r w:rsidRPr="00E0786B">
        <w:rPr>
          <w:sz w:val="22"/>
          <w:szCs w:val="22"/>
        </w:rPr>
        <w:t>through which regulatory trust is realised in everyday care. This instrumental approach is an integral theme in approaches to addressing AI governance in healthcare.</w:t>
      </w:r>
    </w:p>
    <w:p w14:paraId="37D1C6CB" w14:textId="77777777" w:rsidR="0040475E" w:rsidRPr="00E0786B" w:rsidRDefault="0040475E" w:rsidP="0040475E">
      <w:pPr>
        <w:spacing w:line="360" w:lineRule="auto"/>
        <w:rPr>
          <w:sz w:val="22"/>
          <w:szCs w:val="22"/>
        </w:rPr>
      </w:pPr>
      <w:r w:rsidRPr="00E0786B">
        <w:rPr>
          <w:b/>
          <w:bCs/>
          <w:sz w:val="22"/>
          <w:szCs w:val="22"/>
        </w:rPr>
        <w:t>Summary Overview</w:t>
      </w:r>
    </w:p>
    <w:p w14:paraId="05C41C10" w14:textId="77777777" w:rsidR="0040475E" w:rsidRPr="00E0786B" w:rsidRDefault="0040475E" w:rsidP="0040475E">
      <w:pPr>
        <w:spacing w:line="360" w:lineRule="auto"/>
        <w:ind w:firstLine="720"/>
        <w:jc w:val="both"/>
        <w:rPr>
          <w:sz w:val="22"/>
          <w:szCs w:val="22"/>
        </w:rPr>
      </w:pPr>
      <w:r w:rsidRPr="00E0786B">
        <w:rPr>
          <w:sz w:val="22"/>
          <w:szCs w:val="22"/>
        </w:rPr>
        <w:t xml:space="preserve">Current AI governance in healthcare is shaped by Western epistemologies and biomedical hegemonies, limiting perspectives and reinforcing systemic bias. These injustices affect AI literacy, health communication, and medical education, undermining equitable care. This policy analysis calls </w:t>
      </w:r>
      <w:r w:rsidRPr="00E0786B">
        <w:rPr>
          <w:sz w:val="22"/>
          <w:szCs w:val="22"/>
        </w:rPr>
        <w:lastRenderedPageBreak/>
        <w:t>for sociocultural responsiveness and community engagement to build trust and enhance healthcare in the age of AI. Equitable, responsible AI must prioritise inclusivity, transparency, and participation, moving beyond technical compliance toward governance grounded in social justice that addresses structural inequities to ensure technology reduces rather than reproduces disparities.</w:t>
      </w:r>
    </w:p>
    <w:p w14:paraId="4F753BC6" w14:textId="77777777" w:rsidR="0040475E" w:rsidRPr="00E0786B" w:rsidRDefault="0040475E" w:rsidP="0040475E">
      <w:pPr>
        <w:spacing w:line="360" w:lineRule="auto"/>
        <w:rPr>
          <w:sz w:val="22"/>
          <w:szCs w:val="22"/>
        </w:rPr>
      </w:pPr>
      <w:r w:rsidRPr="00E0786B">
        <w:rPr>
          <w:b/>
          <w:bCs/>
          <w:sz w:val="22"/>
          <w:szCs w:val="22"/>
        </w:rPr>
        <w:t xml:space="preserve">Policy Recommendations </w:t>
      </w:r>
    </w:p>
    <w:p w14:paraId="5F82E9FA" w14:textId="77777777" w:rsidR="0040475E" w:rsidRPr="00E0786B" w:rsidRDefault="0040475E" w:rsidP="0040475E">
      <w:pPr>
        <w:spacing w:line="360" w:lineRule="auto"/>
        <w:ind w:firstLine="360"/>
        <w:jc w:val="both"/>
        <w:rPr>
          <w:sz w:val="22"/>
          <w:szCs w:val="22"/>
        </w:rPr>
      </w:pPr>
      <w:r w:rsidRPr="00E0786B">
        <w:rPr>
          <w:sz w:val="22"/>
          <w:szCs w:val="22"/>
        </w:rPr>
        <w:t>To move AI governance in healthcare beyond system-level regulation toward health and epistemic equity, policymakers, regulators, and healthcare organisations must adopt layered interventions. These should address not only healthcare systems but also the wider sociocultural contexts that shape them, strengthening data practices, safeguarding patients, and improving governance. Crucially, this requires involving communities central to healthcare delivery and building trustworthy processes in which AI plays a constructive role—shifting governance from “responsible” to “trustworthy” AI. Through centring sociocultural diversity and epistemic equity AI can becomes not just innovative, but genuinely humanitarian.</w:t>
      </w:r>
    </w:p>
    <w:p w14:paraId="3C570DDD" w14:textId="77777777" w:rsidR="0040475E" w:rsidRPr="00E0786B" w:rsidRDefault="0040475E" w:rsidP="0040475E">
      <w:pPr>
        <w:numPr>
          <w:ilvl w:val="0"/>
          <w:numId w:val="2"/>
        </w:numPr>
        <w:spacing w:line="360" w:lineRule="auto"/>
        <w:rPr>
          <w:sz w:val="22"/>
          <w:szCs w:val="22"/>
        </w:rPr>
      </w:pPr>
      <w:r w:rsidRPr="00E0786B">
        <w:rPr>
          <w:b/>
          <w:bCs/>
          <w:sz w:val="22"/>
          <w:szCs w:val="22"/>
        </w:rPr>
        <w:t>Inclusivity and Accessibility: Strengthen AI governance beyond technical fixes</w:t>
      </w:r>
    </w:p>
    <w:p w14:paraId="72BB9C4B" w14:textId="77777777" w:rsidR="0040475E" w:rsidRPr="00E0786B" w:rsidRDefault="0040475E" w:rsidP="0040475E">
      <w:pPr>
        <w:spacing w:line="360" w:lineRule="auto"/>
        <w:ind w:firstLine="360"/>
        <w:jc w:val="both"/>
        <w:rPr>
          <w:sz w:val="22"/>
          <w:szCs w:val="22"/>
        </w:rPr>
      </w:pPr>
      <w:r w:rsidRPr="00E0786B">
        <w:rPr>
          <w:sz w:val="22"/>
          <w:szCs w:val="22"/>
        </w:rPr>
        <w:t>Current policy overemphasises technical transparency and compliance while neglecting conditions for equitable AI. Governance must embed fairness, diversity, inclusivity, and explainability as baseline requirements. Fairness should be operationalised through routine bias audits and performance evaluation across diverse and protected groups, ensuring strong performance for populations experiencing the poorest outcomes. Inclusive access requires validation across varied clinical, infrastructural, and cultural contexts to avoid false assumptions of generalisability. These measures move AI governance from technical fixes toward inclusive, accountable innovation.</w:t>
      </w:r>
    </w:p>
    <w:p w14:paraId="2267CE40" w14:textId="77777777" w:rsidR="0040475E" w:rsidRPr="00E0786B" w:rsidRDefault="0040475E" w:rsidP="0040475E">
      <w:pPr>
        <w:numPr>
          <w:ilvl w:val="0"/>
          <w:numId w:val="3"/>
        </w:numPr>
        <w:spacing w:line="360" w:lineRule="auto"/>
        <w:rPr>
          <w:sz w:val="22"/>
          <w:szCs w:val="22"/>
        </w:rPr>
      </w:pPr>
      <w:r w:rsidRPr="00E0786B">
        <w:rPr>
          <w:b/>
          <w:bCs/>
          <w:sz w:val="22"/>
          <w:szCs w:val="22"/>
        </w:rPr>
        <w:t>Achieving Equity: Improve governance through quality data</w:t>
      </w:r>
    </w:p>
    <w:p w14:paraId="03604166" w14:textId="77777777" w:rsidR="0040475E" w:rsidRPr="00E0786B" w:rsidRDefault="0040475E" w:rsidP="0040475E">
      <w:pPr>
        <w:spacing w:line="360" w:lineRule="auto"/>
        <w:ind w:firstLine="360"/>
        <w:jc w:val="both"/>
        <w:rPr>
          <w:sz w:val="22"/>
          <w:szCs w:val="22"/>
        </w:rPr>
      </w:pPr>
      <w:r w:rsidRPr="00E0786B">
        <w:rPr>
          <w:sz w:val="22"/>
          <w:szCs w:val="22"/>
        </w:rPr>
        <w:t>Data governance must extend beyond privacy and security compliance to confront structural inequities embedded in data representations and diagnostic recommendations. Policies should mandate equity assessments at every stage—design, procurement, and evaluation—asking who is represented, who is missing, and whose risks are prioritised. Embedding equity ensures AI-driven health innovations reduce disparities rather than reinforce them.</w:t>
      </w:r>
    </w:p>
    <w:p w14:paraId="1EB998DC" w14:textId="77777777" w:rsidR="0040475E" w:rsidRPr="00E0786B" w:rsidRDefault="0040475E" w:rsidP="0040475E">
      <w:pPr>
        <w:numPr>
          <w:ilvl w:val="0"/>
          <w:numId w:val="4"/>
        </w:numPr>
        <w:spacing w:line="360" w:lineRule="auto"/>
        <w:rPr>
          <w:sz w:val="22"/>
          <w:szCs w:val="22"/>
        </w:rPr>
      </w:pPr>
      <w:r w:rsidRPr="00E0786B">
        <w:rPr>
          <w:b/>
          <w:bCs/>
          <w:sz w:val="22"/>
          <w:szCs w:val="22"/>
        </w:rPr>
        <w:t>Institutional and professional capacity: Building epistemic and cultural awareness</w:t>
      </w:r>
    </w:p>
    <w:p w14:paraId="5129E93E" w14:textId="77777777" w:rsidR="0040475E" w:rsidRPr="00E0786B" w:rsidRDefault="0040475E" w:rsidP="0040475E">
      <w:pPr>
        <w:spacing w:line="360" w:lineRule="auto"/>
        <w:ind w:firstLine="360"/>
        <w:jc w:val="both"/>
        <w:rPr>
          <w:sz w:val="22"/>
          <w:szCs w:val="22"/>
        </w:rPr>
      </w:pPr>
      <w:r w:rsidRPr="00E0786B">
        <w:rPr>
          <w:sz w:val="22"/>
          <w:szCs w:val="22"/>
        </w:rPr>
        <w:t>AI literacy in healthcare must extend beyond technical competence to include critical reflection and sociocultural responsiveness. Medical education and professional development should integrate AI literacy with social and epistemic justice, examining how power and bias shape health systems and AI design. Governance should support interdisciplinary approaches and embed communication strategies that address concerns about surveillance, data security, and the human dimensions of care. Explainability is essential: AI systems must provide clinically meaningful insights while fostering trust, transparency, and mutual respect in healthcare delivery.</w:t>
      </w:r>
    </w:p>
    <w:p w14:paraId="4FE5C7A3" w14:textId="77777777" w:rsidR="0040475E" w:rsidRPr="00E0786B" w:rsidRDefault="0040475E" w:rsidP="0040475E">
      <w:pPr>
        <w:numPr>
          <w:ilvl w:val="0"/>
          <w:numId w:val="5"/>
        </w:numPr>
        <w:spacing w:line="360" w:lineRule="auto"/>
        <w:rPr>
          <w:sz w:val="22"/>
          <w:szCs w:val="22"/>
        </w:rPr>
      </w:pPr>
      <w:r w:rsidRPr="00E0786B">
        <w:rPr>
          <w:b/>
          <w:bCs/>
          <w:sz w:val="22"/>
          <w:szCs w:val="22"/>
        </w:rPr>
        <w:t>From responsible to trustworthy AI: Enhancing clinical practice</w:t>
      </w:r>
    </w:p>
    <w:p w14:paraId="3D28A96F" w14:textId="77777777" w:rsidR="0040475E" w:rsidRPr="00E0786B" w:rsidRDefault="0040475E" w:rsidP="0040475E">
      <w:pPr>
        <w:spacing w:line="360" w:lineRule="auto"/>
        <w:ind w:firstLine="360"/>
        <w:jc w:val="both"/>
        <w:rPr>
          <w:sz w:val="22"/>
          <w:szCs w:val="22"/>
        </w:rPr>
      </w:pPr>
      <w:r w:rsidRPr="00E0786B">
        <w:rPr>
          <w:sz w:val="22"/>
          <w:szCs w:val="22"/>
        </w:rPr>
        <w:lastRenderedPageBreak/>
        <w:t>Governance frameworks should link AI oversight to rights-based obligations, including non-discrimination, participation, and equitable access to care. This shifts the focus from responsible AI use to clinicians using AI in ways that sustain trustworthy clinical practice. Trustworthy AI must extend beyond technical robustness to align with human rights and social justice. Explainability should avoid opaque “black box” outputs and mitigate diagnostic bias through clinically meaningful decision insight. Embedding diversity, fairness, and sustainability will preserve trust and ensure AI enhances—rather than undermines—human care. Overall, these recommendations move governance beyond technical risk management toward institutional, ethical, and epistemic transformation in healthcare.</w:t>
      </w:r>
    </w:p>
    <w:p w14:paraId="5BF8CC68" w14:textId="77777777" w:rsidR="0040475E" w:rsidRPr="00E0786B" w:rsidRDefault="0040475E" w:rsidP="0040475E">
      <w:pPr>
        <w:spacing w:line="360" w:lineRule="auto"/>
        <w:rPr>
          <w:sz w:val="22"/>
          <w:szCs w:val="22"/>
        </w:rPr>
      </w:pPr>
      <w:r w:rsidRPr="00E0786B">
        <w:rPr>
          <w:b/>
          <w:bCs/>
          <w:sz w:val="22"/>
          <w:szCs w:val="22"/>
        </w:rPr>
        <w:t>Conclusion</w:t>
      </w:r>
    </w:p>
    <w:p w14:paraId="72C69DC0" w14:textId="77777777" w:rsidR="0040475E" w:rsidRPr="00E0786B" w:rsidRDefault="0040475E" w:rsidP="0040475E">
      <w:pPr>
        <w:spacing w:line="360" w:lineRule="auto"/>
        <w:ind w:firstLine="720"/>
        <w:jc w:val="both"/>
        <w:rPr>
          <w:sz w:val="22"/>
          <w:szCs w:val="22"/>
        </w:rPr>
      </w:pPr>
      <w:r w:rsidRPr="00E0786B">
        <w:rPr>
          <w:sz w:val="22"/>
          <w:szCs w:val="22"/>
        </w:rPr>
        <w:t>Drawing on equity and epistemic injustice, this analysis highlights tensions in AI governance between national agendas to accelerate innovation and the need for equitable, culturally responsive, and socially just healthcare systems. Current frameworks prioritise technical compliance—transparency, robustness, and safety—while overlooking structural, systemic, and epistemic issues. If AI is to serve as a social good, governance must move beyond treating it as a competitive technical artefact and embed a sociocultural understanding of healthcare that can transform institutions and communities. Medical education, professional training, and health communication must integrate epistemic and cultural awareness to address systemic bias and support pluralistic knowledge. Meaningful fairness and accountability require more than technical standards of “responsible AI”; they must align with human rights, social justice, and diverse lived realities to enable genuinely trustworthy AI and healthcare practice.</w:t>
      </w:r>
    </w:p>
    <w:p w14:paraId="489EC523" w14:textId="77777777" w:rsidR="0040475E" w:rsidRPr="000C382F" w:rsidRDefault="0040475E" w:rsidP="0040475E">
      <w:pPr>
        <w:spacing w:before="100" w:beforeAutospacing="1"/>
      </w:pPr>
      <w:r w:rsidRPr="000C382F">
        <w:rPr>
          <w:b/>
          <w:bCs/>
        </w:rPr>
        <w:t>References</w:t>
      </w:r>
    </w:p>
    <w:p w14:paraId="0DFDA942" w14:textId="77777777" w:rsidR="0040475E" w:rsidRPr="00E0786B" w:rsidRDefault="0040475E" w:rsidP="0040475E">
      <w:pPr>
        <w:ind w:left="720" w:hanging="720"/>
        <w:rPr>
          <w:sz w:val="20"/>
          <w:szCs w:val="20"/>
        </w:rPr>
      </w:pPr>
      <w:r w:rsidRPr="00E0786B">
        <w:rPr>
          <w:sz w:val="20"/>
          <w:szCs w:val="20"/>
        </w:rPr>
        <w:t xml:space="preserve">British Medical Association. (2019). </w:t>
      </w:r>
      <w:r w:rsidRPr="00E0786B">
        <w:rPr>
          <w:i/>
          <w:iCs/>
          <w:sz w:val="20"/>
          <w:szCs w:val="20"/>
        </w:rPr>
        <w:t>Principles for artificial intelligence (AI) and its application in healthcare</w:t>
      </w:r>
      <w:r w:rsidRPr="00E0786B">
        <w:rPr>
          <w:sz w:val="20"/>
          <w:szCs w:val="20"/>
        </w:rPr>
        <w:t xml:space="preserve">. BMA. </w:t>
      </w:r>
      <w:hyperlink r:id="rId7" w:history="1">
        <w:r w:rsidRPr="00E0786B">
          <w:rPr>
            <w:color w:val="0000FF"/>
            <w:sz w:val="20"/>
            <w:szCs w:val="20"/>
            <w:u w:val="single"/>
          </w:rPr>
          <w:t>https://www.bma.org.uk/advice-and-support/ethics/artificial-intelligence</w:t>
        </w:r>
      </w:hyperlink>
    </w:p>
    <w:p w14:paraId="5752FEC6" w14:textId="77777777" w:rsidR="0040475E" w:rsidRPr="00E0786B" w:rsidRDefault="0040475E" w:rsidP="0040475E">
      <w:pPr>
        <w:ind w:left="720" w:hanging="720"/>
        <w:rPr>
          <w:sz w:val="20"/>
          <w:szCs w:val="20"/>
        </w:rPr>
      </w:pPr>
      <w:r w:rsidRPr="00E0786B">
        <w:rPr>
          <w:sz w:val="20"/>
          <w:szCs w:val="20"/>
        </w:rPr>
        <w:t>Department of Health and Social Care. (2025). The regulation of artificial intelligence as a medical device: Government response to the Regulatory Horizons Council. UK Government. https://www.gov.uk/government/publications</w:t>
      </w:r>
    </w:p>
    <w:p w14:paraId="2604DBCE" w14:textId="77777777" w:rsidR="0040475E" w:rsidRPr="00E0786B" w:rsidRDefault="0040475E" w:rsidP="0040475E">
      <w:pPr>
        <w:ind w:left="720" w:hanging="720"/>
        <w:rPr>
          <w:sz w:val="20"/>
          <w:szCs w:val="20"/>
        </w:rPr>
      </w:pPr>
      <w:r w:rsidRPr="00E0786B">
        <w:rPr>
          <w:sz w:val="20"/>
          <w:szCs w:val="20"/>
        </w:rPr>
        <w:t xml:space="preserve">European Commission. (2024). </w:t>
      </w:r>
      <w:r w:rsidRPr="00E0786B">
        <w:rPr>
          <w:i/>
          <w:iCs/>
          <w:sz w:val="20"/>
          <w:szCs w:val="20"/>
        </w:rPr>
        <w:t>Artificial intelligence in healthcare</w:t>
      </w:r>
      <w:r w:rsidRPr="00E0786B">
        <w:rPr>
          <w:sz w:val="20"/>
          <w:szCs w:val="20"/>
        </w:rPr>
        <w:t xml:space="preserve">. Directorate-General for Health and Food Safety. </w:t>
      </w:r>
      <w:hyperlink r:id="rId8" w:history="1">
        <w:r w:rsidRPr="00E0786B">
          <w:rPr>
            <w:color w:val="0000FF"/>
            <w:sz w:val="20"/>
            <w:szCs w:val="20"/>
            <w:u w:val="single"/>
          </w:rPr>
          <w:t>https://health.ec.europa.eu/ehealth-digital-health-and-care/artificial-intelligence-healthcare_en</w:t>
        </w:r>
      </w:hyperlink>
    </w:p>
    <w:p w14:paraId="23713A91" w14:textId="77777777" w:rsidR="0040475E" w:rsidRPr="00E0786B" w:rsidRDefault="0040475E" w:rsidP="0040475E">
      <w:pPr>
        <w:ind w:left="720" w:hanging="720"/>
        <w:rPr>
          <w:sz w:val="20"/>
          <w:szCs w:val="20"/>
        </w:rPr>
      </w:pPr>
      <w:r w:rsidRPr="00E0786B">
        <w:rPr>
          <w:sz w:val="20"/>
          <w:szCs w:val="20"/>
        </w:rPr>
        <w:t>Equality and Human Rights Commission. (n.d.). Protected characteristics – Equality Act 2010. https://www.equalityhumanrights.com/equality/equality-act-2010/protected-characteristics</w:t>
      </w:r>
    </w:p>
    <w:p w14:paraId="49E08027" w14:textId="77777777" w:rsidR="0040475E" w:rsidRPr="00E0786B" w:rsidRDefault="0040475E" w:rsidP="0040475E">
      <w:pPr>
        <w:ind w:left="720" w:hanging="720"/>
        <w:rPr>
          <w:sz w:val="20"/>
          <w:szCs w:val="20"/>
        </w:rPr>
      </w:pPr>
      <w:r w:rsidRPr="00E0786B">
        <w:rPr>
          <w:sz w:val="20"/>
          <w:szCs w:val="20"/>
        </w:rPr>
        <w:t xml:space="preserve">Fricker, M. (2008). Epistemic </w:t>
      </w:r>
      <w:proofErr w:type="gramStart"/>
      <w:r w:rsidRPr="00E0786B">
        <w:rPr>
          <w:sz w:val="20"/>
          <w:szCs w:val="20"/>
        </w:rPr>
        <w:t>injustice :</w:t>
      </w:r>
      <w:proofErr w:type="gramEnd"/>
      <w:r w:rsidRPr="00E0786B">
        <w:rPr>
          <w:sz w:val="20"/>
          <w:szCs w:val="20"/>
        </w:rPr>
        <w:t xml:space="preserve"> power and the ethics of knowing / Miranda Fricker. Oxford University Press.</w:t>
      </w:r>
    </w:p>
    <w:p w14:paraId="44A129D7" w14:textId="77777777" w:rsidR="0040475E" w:rsidRPr="00E0786B" w:rsidRDefault="0040475E" w:rsidP="0040475E">
      <w:pPr>
        <w:ind w:left="720" w:hanging="720"/>
        <w:rPr>
          <w:sz w:val="20"/>
          <w:szCs w:val="20"/>
        </w:rPr>
      </w:pPr>
      <w:r w:rsidRPr="00E0786B">
        <w:rPr>
          <w:sz w:val="20"/>
          <w:szCs w:val="20"/>
        </w:rPr>
        <w:t xml:space="preserve">FUTURE-AI Consortium. (2023). FUTURE-AI: International consensus guideline for trustworthy and deployable artificial intelligence in healthcare. </w:t>
      </w:r>
      <w:r w:rsidRPr="00E0786B">
        <w:rPr>
          <w:i/>
          <w:iCs/>
          <w:sz w:val="20"/>
          <w:szCs w:val="20"/>
        </w:rPr>
        <w:t>BMJ Health &amp; Care Informatics, 30</w:t>
      </w:r>
      <w:r w:rsidRPr="00E0786B">
        <w:rPr>
          <w:sz w:val="20"/>
          <w:szCs w:val="20"/>
        </w:rPr>
        <w:t xml:space="preserve">(3), e081554. </w:t>
      </w:r>
      <w:hyperlink r:id="rId9" w:history="1">
        <w:r w:rsidRPr="00E0786B">
          <w:rPr>
            <w:color w:val="0000FF"/>
            <w:sz w:val="20"/>
            <w:szCs w:val="20"/>
            <w:u w:val="single"/>
          </w:rPr>
          <w:t>https://doi.org/10.1136/bmjhci-2023-081554</w:t>
        </w:r>
      </w:hyperlink>
    </w:p>
    <w:p w14:paraId="75CEF67E" w14:textId="77777777" w:rsidR="0040475E" w:rsidRPr="00E0786B" w:rsidRDefault="0040475E" w:rsidP="0040475E">
      <w:pPr>
        <w:ind w:left="720" w:hanging="720"/>
        <w:rPr>
          <w:sz w:val="20"/>
          <w:szCs w:val="20"/>
        </w:rPr>
      </w:pPr>
      <w:r w:rsidRPr="00E0786B">
        <w:rPr>
          <w:sz w:val="20"/>
          <w:szCs w:val="20"/>
        </w:rPr>
        <w:t xml:space="preserve">Health Foundation. (2024). </w:t>
      </w:r>
      <w:r w:rsidRPr="00E0786B">
        <w:rPr>
          <w:i/>
          <w:iCs/>
          <w:sz w:val="20"/>
          <w:szCs w:val="20"/>
        </w:rPr>
        <w:t>Can technology and AI “save the NHS”? A look at the main party manifestos</w:t>
      </w:r>
      <w:r w:rsidRPr="00E0786B">
        <w:rPr>
          <w:sz w:val="20"/>
          <w:szCs w:val="20"/>
        </w:rPr>
        <w:t xml:space="preserve">. </w:t>
      </w:r>
      <w:hyperlink r:id="rId10" w:history="1">
        <w:r w:rsidRPr="00E0786B">
          <w:rPr>
            <w:color w:val="0000FF"/>
            <w:sz w:val="20"/>
            <w:szCs w:val="20"/>
            <w:u w:val="single"/>
          </w:rPr>
          <w:t>https://www.health.org.uk/features-and-opinion/blogs/can-technology-and-ai-save-the-nhs-a-look-at-the-main-party-manifestos</w:t>
        </w:r>
      </w:hyperlink>
    </w:p>
    <w:p w14:paraId="1FD3345D" w14:textId="77777777" w:rsidR="0040475E" w:rsidRPr="00E0786B" w:rsidRDefault="0040475E" w:rsidP="0040475E">
      <w:pPr>
        <w:ind w:left="720" w:hanging="720"/>
        <w:rPr>
          <w:sz w:val="20"/>
          <w:szCs w:val="20"/>
        </w:rPr>
      </w:pPr>
      <w:r w:rsidRPr="00E0786B">
        <w:rPr>
          <w:sz w:val="20"/>
          <w:szCs w:val="20"/>
        </w:rPr>
        <w:t xml:space="preserve">McGrath, C. P. (2024). The state and values of AI governance in UK healthcare. In B. Solaiman &amp; I. G. Cohen (Eds.), </w:t>
      </w:r>
      <w:r w:rsidRPr="00E0786B">
        <w:rPr>
          <w:i/>
          <w:iCs/>
          <w:sz w:val="20"/>
          <w:szCs w:val="20"/>
        </w:rPr>
        <w:t>Research handbook on health, AI and the law</w:t>
      </w:r>
      <w:r w:rsidRPr="00E0786B">
        <w:rPr>
          <w:sz w:val="20"/>
          <w:szCs w:val="20"/>
        </w:rPr>
        <w:t xml:space="preserve"> (Chap. 17). Edward Elgar Publishing. </w:t>
      </w:r>
      <w:hyperlink r:id="rId11" w:history="1">
        <w:r w:rsidRPr="00E0786B">
          <w:rPr>
            <w:color w:val="0000FF"/>
            <w:sz w:val="20"/>
            <w:szCs w:val="20"/>
            <w:u w:val="single"/>
          </w:rPr>
          <w:t>https://www.ncbi.nlm.nih.gov/books/NBK613210/</w:t>
        </w:r>
      </w:hyperlink>
    </w:p>
    <w:p w14:paraId="048C9F8B" w14:textId="77777777" w:rsidR="0040475E" w:rsidRPr="00E0786B" w:rsidRDefault="0040475E" w:rsidP="0040475E">
      <w:pPr>
        <w:ind w:left="720" w:hanging="720"/>
        <w:rPr>
          <w:sz w:val="20"/>
          <w:szCs w:val="20"/>
        </w:rPr>
      </w:pPr>
      <w:r w:rsidRPr="00E0786B">
        <w:rPr>
          <w:sz w:val="20"/>
          <w:szCs w:val="20"/>
        </w:rPr>
        <w:t xml:space="preserve">Medicines and Healthcare products Regulatory Agency. (2025). </w:t>
      </w:r>
      <w:r w:rsidRPr="00E0786B">
        <w:rPr>
          <w:i/>
          <w:iCs/>
          <w:sz w:val="20"/>
          <w:szCs w:val="20"/>
        </w:rPr>
        <w:t>Software and artificial intelligence (AI) as a medical device: Guidance</w:t>
      </w:r>
      <w:r w:rsidRPr="00E0786B">
        <w:rPr>
          <w:sz w:val="20"/>
          <w:szCs w:val="20"/>
        </w:rPr>
        <w:t xml:space="preserve">. GOV.UK. </w:t>
      </w:r>
      <w:hyperlink r:id="rId12" w:history="1">
        <w:r w:rsidRPr="00E0786B">
          <w:rPr>
            <w:color w:val="0000FF"/>
            <w:sz w:val="20"/>
            <w:szCs w:val="20"/>
            <w:u w:val="single"/>
          </w:rPr>
          <w:t>https://www.gov.uk/government/publications/software-and-ai-as-a-medical-device-samd</w:t>
        </w:r>
      </w:hyperlink>
    </w:p>
    <w:p w14:paraId="21D13D1D" w14:textId="77777777" w:rsidR="0040475E" w:rsidRPr="00E0786B" w:rsidRDefault="0040475E" w:rsidP="0040475E">
      <w:pPr>
        <w:ind w:left="720" w:hanging="720"/>
        <w:rPr>
          <w:sz w:val="20"/>
          <w:szCs w:val="20"/>
        </w:rPr>
      </w:pPr>
      <w:r w:rsidRPr="00E0786B">
        <w:rPr>
          <w:sz w:val="20"/>
          <w:szCs w:val="20"/>
        </w:rPr>
        <w:lastRenderedPageBreak/>
        <w:t>Medicines and Healthcare products Regulatory Agency. (2025, September 26). New Commission to help accelerate NHS use of AI [Press release]. https://www.gov.uk/government/news/new-commission-to-help-accelerate-nhs-use-of-ai</w:t>
      </w:r>
    </w:p>
    <w:p w14:paraId="73223C0D" w14:textId="77777777" w:rsidR="0040475E" w:rsidRPr="00E0786B" w:rsidRDefault="0040475E" w:rsidP="0040475E">
      <w:pPr>
        <w:ind w:left="720" w:hanging="720"/>
        <w:rPr>
          <w:sz w:val="20"/>
          <w:szCs w:val="20"/>
        </w:rPr>
      </w:pPr>
      <w:r w:rsidRPr="00E0786B">
        <w:rPr>
          <w:sz w:val="20"/>
          <w:szCs w:val="20"/>
        </w:rPr>
        <w:t xml:space="preserve">National Academy of Medicine. (2024). </w:t>
      </w:r>
      <w:r w:rsidRPr="00E0786B">
        <w:rPr>
          <w:i/>
          <w:iCs/>
          <w:sz w:val="20"/>
          <w:szCs w:val="20"/>
        </w:rPr>
        <w:t>AI CODE: Health care artificial intelligence code of conduct</w:t>
      </w:r>
      <w:r w:rsidRPr="00E0786B">
        <w:rPr>
          <w:sz w:val="20"/>
          <w:szCs w:val="20"/>
        </w:rPr>
        <w:t xml:space="preserve">. </w:t>
      </w:r>
      <w:hyperlink r:id="rId13" w:history="1">
        <w:r w:rsidRPr="00E0786B">
          <w:rPr>
            <w:color w:val="0000FF"/>
            <w:sz w:val="20"/>
            <w:szCs w:val="20"/>
            <w:u w:val="single"/>
          </w:rPr>
          <w:t>https://nam.edu/initiatives/ai-code/</w:t>
        </w:r>
      </w:hyperlink>
    </w:p>
    <w:p w14:paraId="0366B99C" w14:textId="77777777" w:rsidR="0040475E" w:rsidRPr="00E0786B" w:rsidRDefault="0040475E" w:rsidP="0040475E">
      <w:pPr>
        <w:ind w:left="720" w:hanging="720"/>
        <w:rPr>
          <w:sz w:val="20"/>
          <w:szCs w:val="20"/>
        </w:rPr>
      </w:pPr>
      <w:r w:rsidRPr="00E0786B">
        <w:rPr>
          <w:sz w:val="20"/>
          <w:szCs w:val="20"/>
        </w:rPr>
        <w:t xml:space="preserve">National Health Service England. (2024). </w:t>
      </w:r>
      <w:r w:rsidRPr="00E0786B">
        <w:rPr>
          <w:i/>
          <w:iCs/>
          <w:sz w:val="20"/>
          <w:szCs w:val="20"/>
        </w:rPr>
        <w:t>AI in the NHS: Governance, safety and deployment update</w:t>
      </w:r>
      <w:r w:rsidRPr="00E0786B">
        <w:rPr>
          <w:sz w:val="20"/>
          <w:szCs w:val="20"/>
        </w:rPr>
        <w:t xml:space="preserve">. </w:t>
      </w:r>
      <w:hyperlink r:id="rId14" w:history="1">
        <w:r w:rsidRPr="00E0786B">
          <w:rPr>
            <w:color w:val="0000FF"/>
            <w:sz w:val="20"/>
            <w:szCs w:val="20"/>
            <w:u w:val="single"/>
          </w:rPr>
          <w:t>https://www.england.nhs.uk/ai-governance-update</w:t>
        </w:r>
      </w:hyperlink>
    </w:p>
    <w:p w14:paraId="16EB44F4" w14:textId="77777777" w:rsidR="0040475E" w:rsidRPr="00E0786B" w:rsidRDefault="0040475E" w:rsidP="0040475E">
      <w:pPr>
        <w:ind w:left="720" w:hanging="720"/>
        <w:rPr>
          <w:sz w:val="20"/>
          <w:szCs w:val="20"/>
        </w:rPr>
      </w:pPr>
      <w:r w:rsidRPr="00E0786B">
        <w:rPr>
          <w:sz w:val="20"/>
          <w:szCs w:val="20"/>
        </w:rPr>
        <w:t xml:space="preserve">Rozenblit, L., et al. (2024). The Trustworthy Medical AI Framework: Lifecycle oversight for safe and ethical clinical AI. </w:t>
      </w:r>
      <w:r w:rsidRPr="00E0786B">
        <w:rPr>
          <w:i/>
          <w:iCs/>
          <w:sz w:val="20"/>
          <w:szCs w:val="20"/>
        </w:rPr>
        <w:t>Journal of Medical Systems, 48</w:t>
      </w:r>
      <w:r w:rsidRPr="00E0786B">
        <w:rPr>
          <w:sz w:val="20"/>
          <w:szCs w:val="20"/>
        </w:rPr>
        <w:t xml:space="preserve">(2), 1–15. </w:t>
      </w:r>
      <w:hyperlink r:id="rId15" w:history="1">
        <w:r w:rsidRPr="00E0786B">
          <w:rPr>
            <w:color w:val="0000FF"/>
            <w:sz w:val="20"/>
            <w:szCs w:val="20"/>
            <w:u w:val="single"/>
          </w:rPr>
          <w:t>https://doi.org/10.1007/s10916-024-02145-7</w:t>
        </w:r>
      </w:hyperlink>
    </w:p>
    <w:p w14:paraId="5AC10FB8" w14:textId="77777777" w:rsidR="0040475E" w:rsidRPr="00E0786B" w:rsidRDefault="0040475E" w:rsidP="0040475E">
      <w:pPr>
        <w:ind w:left="720" w:hanging="720"/>
        <w:rPr>
          <w:sz w:val="20"/>
          <w:szCs w:val="20"/>
        </w:rPr>
      </w:pPr>
      <w:r w:rsidRPr="00E0786B">
        <w:rPr>
          <w:sz w:val="20"/>
          <w:szCs w:val="20"/>
        </w:rPr>
        <w:t xml:space="preserve">Senghor, A. S., et al. (2024). A community-based approach to ethical decision-making in health AI: The AI CODE framework for health equity. </w:t>
      </w:r>
      <w:r w:rsidRPr="00E0786B">
        <w:rPr>
          <w:i/>
          <w:iCs/>
          <w:sz w:val="20"/>
          <w:szCs w:val="20"/>
        </w:rPr>
        <w:t>Journal of Health Ethics and Policy, 19</w:t>
      </w:r>
      <w:r w:rsidRPr="00E0786B">
        <w:rPr>
          <w:sz w:val="20"/>
          <w:szCs w:val="20"/>
        </w:rPr>
        <w:t xml:space="preserve">(1), 22–39. </w:t>
      </w:r>
      <w:hyperlink r:id="rId16" w:history="1">
        <w:r w:rsidRPr="00E0786B">
          <w:rPr>
            <w:color w:val="0000FF"/>
            <w:sz w:val="20"/>
            <w:szCs w:val="20"/>
            <w:u w:val="single"/>
          </w:rPr>
          <w:t>https://doi.org/10.1080/jhep.2024.19.1.22</w:t>
        </w:r>
      </w:hyperlink>
    </w:p>
    <w:p w14:paraId="3B84DFD5" w14:textId="77777777" w:rsidR="0040475E" w:rsidRPr="00E0786B" w:rsidRDefault="0040475E" w:rsidP="0040475E">
      <w:pPr>
        <w:ind w:left="720" w:hanging="720"/>
        <w:rPr>
          <w:sz w:val="20"/>
          <w:szCs w:val="20"/>
        </w:rPr>
      </w:pPr>
      <w:r w:rsidRPr="00E0786B">
        <w:rPr>
          <w:sz w:val="20"/>
          <w:szCs w:val="20"/>
        </w:rPr>
        <w:t xml:space="preserve">World Health Organization. (2021). </w:t>
      </w:r>
      <w:r w:rsidRPr="00E0786B">
        <w:rPr>
          <w:i/>
          <w:iCs/>
          <w:sz w:val="20"/>
          <w:szCs w:val="20"/>
        </w:rPr>
        <w:t>Ethics and governance of artificial intelligence for health</w:t>
      </w:r>
      <w:r w:rsidRPr="00E0786B">
        <w:rPr>
          <w:sz w:val="20"/>
          <w:szCs w:val="20"/>
        </w:rPr>
        <w:t xml:space="preserve">. WHO. </w:t>
      </w:r>
      <w:hyperlink r:id="rId17" w:history="1">
        <w:r w:rsidRPr="00E0786B">
          <w:rPr>
            <w:color w:val="0000FF"/>
            <w:sz w:val="20"/>
            <w:szCs w:val="20"/>
            <w:u w:val="single"/>
          </w:rPr>
          <w:t>https://www.who.int/publications/i/item/9789240029200</w:t>
        </w:r>
      </w:hyperlink>
    </w:p>
    <w:p w14:paraId="738BCDFC" w14:textId="77777777" w:rsidR="0040475E" w:rsidRPr="00E0786B" w:rsidRDefault="0040475E" w:rsidP="0040475E">
      <w:pPr>
        <w:ind w:left="720" w:hanging="720"/>
        <w:rPr>
          <w:sz w:val="20"/>
          <w:szCs w:val="20"/>
        </w:rPr>
      </w:pPr>
      <w:r w:rsidRPr="00E0786B">
        <w:rPr>
          <w:sz w:val="20"/>
          <w:szCs w:val="20"/>
        </w:rPr>
        <w:t xml:space="preserve">World Health Organization Regional Office for Europe. (2023). </w:t>
      </w:r>
      <w:r w:rsidRPr="00E0786B">
        <w:rPr>
          <w:i/>
          <w:iCs/>
          <w:sz w:val="20"/>
          <w:szCs w:val="20"/>
        </w:rPr>
        <w:t>Health data governance in the age of artificial intelligence: Policy brief</w:t>
      </w:r>
      <w:r w:rsidRPr="00E0786B">
        <w:rPr>
          <w:sz w:val="20"/>
          <w:szCs w:val="20"/>
        </w:rPr>
        <w:t xml:space="preserve">. WHO Regional Office for Europe. </w:t>
      </w:r>
      <w:hyperlink r:id="rId18" w:history="1">
        <w:r w:rsidRPr="00E0786B">
          <w:rPr>
            <w:color w:val="0000FF"/>
            <w:sz w:val="20"/>
            <w:szCs w:val="20"/>
            <w:u w:val="single"/>
          </w:rPr>
          <w:t>https://www.euro.who.int/en/publications</w:t>
        </w:r>
      </w:hyperlink>
    </w:p>
    <w:p w14:paraId="556A340E" w14:textId="77777777" w:rsidR="0040475E" w:rsidRPr="002F6070" w:rsidRDefault="0040475E" w:rsidP="0040475E"/>
    <w:p w14:paraId="665BF27F" w14:textId="77777777" w:rsidR="0040475E" w:rsidRPr="006A13E3" w:rsidRDefault="0040475E" w:rsidP="0040475E">
      <w:pPr>
        <w:shd w:val="clear" w:color="auto" w:fill="FFFFFF"/>
        <w:spacing w:line="360" w:lineRule="auto"/>
        <w:jc w:val="both"/>
        <w:rPr>
          <w:sz w:val="22"/>
          <w:szCs w:val="22"/>
        </w:rPr>
      </w:pPr>
    </w:p>
    <w:p w14:paraId="7072E42D" w14:textId="77777777" w:rsidR="0040475E" w:rsidRPr="006A13E3" w:rsidRDefault="0040475E" w:rsidP="0040475E">
      <w:pPr>
        <w:spacing w:line="360" w:lineRule="auto"/>
        <w:rPr>
          <w:sz w:val="22"/>
          <w:szCs w:val="22"/>
        </w:rPr>
      </w:pPr>
    </w:p>
    <w:p w14:paraId="02A87DB9" w14:textId="77777777" w:rsidR="0040475E" w:rsidRPr="00402052" w:rsidRDefault="0040475E" w:rsidP="0040475E">
      <w:pPr>
        <w:spacing w:line="276" w:lineRule="auto"/>
        <w:rPr>
          <w:sz w:val="20"/>
          <w:szCs w:val="20"/>
        </w:rPr>
      </w:pPr>
    </w:p>
    <w:p w14:paraId="6CBBC09D" w14:textId="77777777" w:rsidR="00054BFB" w:rsidRPr="009D2372" w:rsidRDefault="00054BFB" w:rsidP="0040475E">
      <w:pPr>
        <w:pStyle w:val="NormalWeb"/>
        <w:spacing w:before="0" w:beforeAutospacing="0" w:after="0" w:afterAutospacing="0"/>
        <w:jc w:val="center"/>
        <w:rPr>
          <w:b/>
          <w:bCs/>
        </w:rPr>
      </w:pPr>
    </w:p>
    <w:sectPr w:rsidR="00054BFB" w:rsidRPr="009D2372">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embedRegular r:id="rId1" w:fontKey="{03B622B1-25FA-E546-A8F1-C90C3C3F7D6B}"/>
  </w:font>
  <w:font w:name="Times New Roman">
    <w:panose1 w:val="02020603050405020304"/>
    <w:charset w:val="00"/>
    <w:family w:val="roman"/>
    <w:pitch w:val="variable"/>
    <w:sig w:usb0="E0002EFF" w:usb1="C000785B" w:usb2="00000009" w:usb3="00000000" w:csb0="000001FF" w:csb1="00000000"/>
    <w:embedRegular r:id="rId2" w:fontKey="{CB6D87BE-6A29-F34E-8E51-409E893A1456}"/>
    <w:embedBold r:id="rId3" w:fontKey="{A6CFC320-3A3B-C34C-8EB0-9F4DF0F175BB}"/>
    <w:embedItalic r:id="rId4" w:fontKey="{58F0FF36-7D8D-DF4C-B9E2-8B433D4EE819}"/>
  </w:font>
  <w:font w:name="Courier New">
    <w:panose1 w:val="02070309020205020404"/>
    <w:charset w:val="00"/>
    <w:family w:val="modern"/>
    <w:pitch w:val="fixed"/>
    <w:sig w:usb0="E0002EFF" w:usb1="C0007843" w:usb2="00000009" w:usb3="00000000" w:csb0="000001FF" w:csb1="00000000"/>
    <w:embedRegular r:id="rId5" w:fontKey="{E4221CFC-0451-194E-B170-718F43DF62AE}"/>
  </w:font>
  <w:font w:name="Wingdings">
    <w:panose1 w:val="05000000000000000000"/>
    <w:charset w:val="4D"/>
    <w:family w:val="decorative"/>
    <w:pitch w:val="variable"/>
    <w:sig w:usb0="00000003" w:usb1="00000000" w:usb2="00000000" w:usb3="00000000" w:csb0="80000001" w:csb1="00000000"/>
    <w:embedRegular r:id="rId6" w:fontKey="{04FCAEA1-E140-6641-BC25-87464C7E104E}"/>
  </w:font>
  <w:font w:name="Aptos">
    <w:panose1 w:val="020B0004020202020204"/>
    <w:charset w:val="00"/>
    <w:family w:val="swiss"/>
    <w:pitch w:val="variable"/>
    <w:sig w:usb0="20000287" w:usb1="00000003" w:usb2="00000000" w:usb3="00000000" w:csb0="0000019F" w:csb1="00000000"/>
    <w:embedRegular r:id="rId7" w:fontKey="{7B37C583-5D53-F74C-9BCF-488BE58A149A}"/>
    <w:embedItalic r:id="rId8" w:fontKey="{FADA16C2-AD38-7049-9ADC-27958B05C886}"/>
  </w:font>
  <w:font w:name="Play">
    <w:altName w:val="Calibri"/>
    <w:panose1 w:val="020B0604020202020204"/>
    <w:charset w:val="00"/>
    <w:family w:val="auto"/>
    <w:pitch w:val="default"/>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embedRegular r:id="rId11" w:fontKey="{076151E0-F328-1842-AB03-2A04D87722A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C07D2"/>
    <w:multiLevelType w:val="multilevel"/>
    <w:tmpl w:val="6BF61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490E19"/>
    <w:multiLevelType w:val="multilevel"/>
    <w:tmpl w:val="159087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FD0A48"/>
    <w:multiLevelType w:val="multilevel"/>
    <w:tmpl w:val="426205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BC0BDD"/>
    <w:multiLevelType w:val="multilevel"/>
    <w:tmpl w:val="BE882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6E45F0A"/>
    <w:multiLevelType w:val="multilevel"/>
    <w:tmpl w:val="A1EEA8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8601738">
    <w:abstractNumId w:val="0"/>
  </w:num>
  <w:num w:numId="2" w16cid:durableId="1427579537">
    <w:abstractNumId w:val="3"/>
  </w:num>
  <w:num w:numId="3" w16cid:durableId="1233588034">
    <w:abstractNumId w:val="2"/>
  </w:num>
  <w:num w:numId="4" w16cid:durableId="1130441815">
    <w:abstractNumId w:val="4"/>
  </w:num>
  <w:num w:numId="5" w16cid:durableId="1866475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1D8"/>
    <w:rsid w:val="00054BFB"/>
    <w:rsid w:val="000F11D8"/>
    <w:rsid w:val="00130C72"/>
    <w:rsid w:val="001E7CCF"/>
    <w:rsid w:val="00210E3F"/>
    <w:rsid w:val="002212AD"/>
    <w:rsid w:val="00244264"/>
    <w:rsid w:val="00271116"/>
    <w:rsid w:val="0028525D"/>
    <w:rsid w:val="002960D9"/>
    <w:rsid w:val="002E184F"/>
    <w:rsid w:val="003E4EC6"/>
    <w:rsid w:val="003F6A98"/>
    <w:rsid w:val="0040475E"/>
    <w:rsid w:val="00414DF5"/>
    <w:rsid w:val="00455C43"/>
    <w:rsid w:val="00610403"/>
    <w:rsid w:val="006B3D43"/>
    <w:rsid w:val="007053E9"/>
    <w:rsid w:val="007449F4"/>
    <w:rsid w:val="0092088D"/>
    <w:rsid w:val="00980A09"/>
    <w:rsid w:val="009D2372"/>
    <w:rsid w:val="00B75236"/>
    <w:rsid w:val="00BF4FCF"/>
    <w:rsid w:val="00C414A6"/>
    <w:rsid w:val="00D14D5C"/>
    <w:rsid w:val="00E659EF"/>
    <w:rsid w:val="00E9791E"/>
    <w:rsid w:val="00F71CE3"/>
    <w:rsid w:val="00F96365"/>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26C51633"/>
  <w15:docId w15:val="{D2A821E8-4909-454A-8AE4-DFC045C2D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GB" w:eastAsia="zh-TW"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CCF"/>
    <w:pPr>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pPr>
      <w:keepNext/>
      <w:keepLines/>
      <w:spacing w:before="360" w:after="80" w:line="278" w:lineRule="auto"/>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line="278" w:lineRule="auto"/>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line="278" w:lineRule="auto"/>
      <w:outlineLvl w:val="2"/>
    </w:pPr>
    <w:rPr>
      <w:rFonts w:ascii="Aptos" w:eastAsia="Aptos" w:hAnsi="Aptos" w:cs="Aptos"/>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line="278" w:lineRule="auto"/>
      <w:outlineLvl w:val="3"/>
    </w:pPr>
    <w:rPr>
      <w:rFonts w:ascii="Aptos" w:eastAsia="Aptos" w:hAnsi="Aptos" w:cs="Aptos"/>
      <w:i/>
      <w:iCs/>
      <w:color w:val="0F4761"/>
    </w:rPr>
  </w:style>
  <w:style w:type="paragraph" w:styleId="Heading5">
    <w:name w:val="heading 5"/>
    <w:basedOn w:val="Normal"/>
    <w:next w:val="Normal"/>
    <w:link w:val="Heading5Char"/>
    <w:uiPriority w:val="9"/>
    <w:semiHidden/>
    <w:unhideWhenUsed/>
    <w:qFormat/>
    <w:pPr>
      <w:keepNext/>
      <w:keepLines/>
      <w:spacing w:before="80" w:after="40" w:line="278" w:lineRule="auto"/>
      <w:outlineLvl w:val="4"/>
    </w:pPr>
    <w:rPr>
      <w:rFonts w:ascii="Aptos" w:eastAsia="Aptos" w:hAnsi="Aptos" w:cs="Aptos"/>
      <w:color w:val="0F4761"/>
    </w:rPr>
  </w:style>
  <w:style w:type="paragraph" w:styleId="Heading6">
    <w:name w:val="heading 6"/>
    <w:basedOn w:val="Normal"/>
    <w:next w:val="Normal"/>
    <w:link w:val="Heading6Char"/>
    <w:uiPriority w:val="9"/>
    <w:semiHidden/>
    <w:unhideWhenUsed/>
    <w:qFormat/>
    <w:pPr>
      <w:keepNext/>
      <w:keepLines/>
      <w:spacing w:before="40" w:line="278" w:lineRule="auto"/>
      <w:outlineLvl w:val="5"/>
    </w:pPr>
    <w:rPr>
      <w:rFonts w:ascii="Aptos" w:eastAsia="Aptos" w:hAnsi="Aptos" w:cs="Aptos"/>
      <w:i/>
      <w:iCs/>
      <w:color w:val="595959"/>
    </w:rPr>
  </w:style>
  <w:style w:type="paragraph" w:styleId="Heading7">
    <w:name w:val="heading 7"/>
    <w:basedOn w:val="Normal"/>
    <w:next w:val="Normal"/>
    <w:link w:val="Heading7Char"/>
    <w:uiPriority w:val="9"/>
    <w:semiHidden/>
    <w:unhideWhenUsed/>
    <w:qFormat/>
    <w:rsid w:val="00E91AD2"/>
    <w:pPr>
      <w:keepNext/>
      <w:keepLines/>
      <w:spacing w:before="40" w:line="278" w:lineRule="auto"/>
      <w:outlineLvl w:val="6"/>
    </w:pPr>
    <w:rPr>
      <w:rFonts w:ascii="Aptos" w:eastAsiaTheme="majorEastAsia" w:hAnsi="Aptos" w:cstheme="majorBidi"/>
      <w:color w:val="595959" w:themeColor="text1" w:themeTint="A6"/>
    </w:rPr>
  </w:style>
  <w:style w:type="paragraph" w:styleId="Heading8">
    <w:name w:val="heading 8"/>
    <w:basedOn w:val="Normal"/>
    <w:next w:val="Normal"/>
    <w:link w:val="Heading8Char"/>
    <w:uiPriority w:val="9"/>
    <w:semiHidden/>
    <w:unhideWhenUsed/>
    <w:qFormat/>
    <w:rsid w:val="00E91AD2"/>
    <w:pPr>
      <w:keepNext/>
      <w:keepLines/>
      <w:spacing w:line="278" w:lineRule="auto"/>
      <w:outlineLvl w:val="7"/>
    </w:pPr>
    <w:rPr>
      <w:rFonts w:ascii="Aptos" w:eastAsiaTheme="majorEastAsia" w:hAnsi="Aptos" w:cstheme="majorBidi"/>
      <w:i/>
      <w:iCs/>
      <w:color w:val="272727" w:themeColor="text1" w:themeTint="D8"/>
    </w:rPr>
  </w:style>
  <w:style w:type="paragraph" w:styleId="Heading9">
    <w:name w:val="heading 9"/>
    <w:basedOn w:val="Normal"/>
    <w:next w:val="Normal"/>
    <w:link w:val="Heading9Char"/>
    <w:uiPriority w:val="9"/>
    <w:semiHidden/>
    <w:unhideWhenUsed/>
    <w:qFormat/>
    <w:rsid w:val="00E91AD2"/>
    <w:pPr>
      <w:keepNext/>
      <w:keepLines/>
      <w:spacing w:line="278" w:lineRule="auto"/>
      <w:outlineLvl w:val="8"/>
    </w:pPr>
    <w:rPr>
      <w:rFonts w:ascii="Aptos" w:eastAsiaTheme="majorEastAsia" w:hAnsi="Aptos"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table" w:customStyle="1" w:styleId="TableNormal1">
    <w:name w:val="TableNormal"/>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E91A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91A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91A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A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A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A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A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A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AD2"/>
    <w:rPr>
      <w:rFonts w:eastAsiaTheme="majorEastAsia" w:cstheme="majorBidi"/>
      <w:color w:val="272727" w:themeColor="text1" w:themeTint="D8"/>
    </w:rPr>
  </w:style>
  <w:style w:type="character" w:customStyle="1" w:styleId="TitleChar">
    <w:name w:val="Title Char"/>
    <w:basedOn w:val="DefaultParagraphFont"/>
    <w:link w:val="Title"/>
    <w:uiPriority w:val="10"/>
    <w:rsid w:val="00E91AD2"/>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E91A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AD2"/>
    <w:pPr>
      <w:spacing w:before="160" w:after="160" w:line="278" w:lineRule="auto"/>
      <w:jc w:val="center"/>
    </w:pPr>
    <w:rPr>
      <w:rFonts w:ascii="Aptos" w:eastAsia="Aptos" w:hAnsi="Aptos" w:cs="Aptos"/>
      <w:i/>
      <w:iCs/>
      <w:color w:val="404040" w:themeColor="text1" w:themeTint="BF"/>
    </w:rPr>
  </w:style>
  <w:style w:type="character" w:customStyle="1" w:styleId="QuoteChar">
    <w:name w:val="Quote Char"/>
    <w:basedOn w:val="DefaultParagraphFont"/>
    <w:link w:val="Quote"/>
    <w:uiPriority w:val="29"/>
    <w:rsid w:val="00E91AD2"/>
    <w:rPr>
      <w:i/>
      <w:iCs/>
      <w:color w:val="404040" w:themeColor="text1" w:themeTint="BF"/>
    </w:rPr>
  </w:style>
  <w:style w:type="paragraph" w:styleId="ListParagraph">
    <w:name w:val="List Paragraph"/>
    <w:basedOn w:val="Normal"/>
    <w:uiPriority w:val="34"/>
    <w:qFormat/>
    <w:rsid w:val="00E91AD2"/>
    <w:pPr>
      <w:spacing w:after="160" w:line="278" w:lineRule="auto"/>
      <w:ind w:left="720"/>
      <w:contextualSpacing/>
    </w:pPr>
    <w:rPr>
      <w:rFonts w:ascii="Aptos" w:eastAsia="Aptos" w:hAnsi="Aptos" w:cs="Aptos"/>
    </w:rPr>
  </w:style>
  <w:style w:type="character" w:styleId="IntenseEmphasis">
    <w:name w:val="Intense Emphasis"/>
    <w:basedOn w:val="DefaultParagraphFont"/>
    <w:uiPriority w:val="21"/>
    <w:qFormat/>
    <w:rsid w:val="00E91AD2"/>
    <w:rPr>
      <w:i/>
      <w:iCs/>
      <w:color w:val="0F4761" w:themeColor="accent1" w:themeShade="BF"/>
    </w:rPr>
  </w:style>
  <w:style w:type="paragraph" w:styleId="IntenseQuote">
    <w:name w:val="Intense Quote"/>
    <w:basedOn w:val="Normal"/>
    <w:next w:val="Normal"/>
    <w:link w:val="IntenseQuoteChar"/>
    <w:uiPriority w:val="30"/>
    <w:qFormat/>
    <w:rsid w:val="00E91AD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Aptos" w:eastAsia="Aptos" w:hAnsi="Aptos" w:cs="Aptos"/>
      <w:i/>
      <w:iCs/>
      <w:color w:val="0F4761" w:themeColor="accent1" w:themeShade="BF"/>
    </w:rPr>
  </w:style>
  <w:style w:type="character" w:customStyle="1" w:styleId="IntenseQuoteChar">
    <w:name w:val="Intense Quote Char"/>
    <w:basedOn w:val="DefaultParagraphFont"/>
    <w:link w:val="IntenseQuote"/>
    <w:uiPriority w:val="30"/>
    <w:rsid w:val="00E91AD2"/>
    <w:rPr>
      <w:i/>
      <w:iCs/>
      <w:color w:val="0F4761" w:themeColor="accent1" w:themeShade="BF"/>
    </w:rPr>
  </w:style>
  <w:style w:type="character" w:styleId="IntenseReference">
    <w:name w:val="Intense Reference"/>
    <w:basedOn w:val="DefaultParagraphFont"/>
    <w:uiPriority w:val="32"/>
    <w:qFormat/>
    <w:rsid w:val="00E91AD2"/>
    <w:rPr>
      <w:b/>
      <w:bCs/>
      <w:smallCaps/>
      <w:color w:val="0F4761" w:themeColor="accent1" w:themeShade="BF"/>
      <w:spacing w:val="5"/>
    </w:rPr>
  </w:style>
  <w:style w:type="paragraph" w:styleId="NormalWeb">
    <w:name w:val="Normal (Web)"/>
    <w:basedOn w:val="Normal"/>
    <w:uiPriority w:val="99"/>
    <w:unhideWhenUsed/>
    <w:rsid w:val="00CA60CD"/>
    <w:pPr>
      <w:spacing w:before="100" w:beforeAutospacing="1" w:after="100" w:afterAutospacing="1"/>
    </w:pPr>
    <w:rPr>
      <w:lang w:eastAsia="en-GB"/>
    </w:rPr>
  </w:style>
  <w:style w:type="character" w:styleId="Strong">
    <w:name w:val="Strong"/>
    <w:basedOn w:val="DefaultParagraphFont"/>
    <w:uiPriority w:val="22"/>
    <w:qFormat/>
    <w:rsid w:val="00CA60CD"/>
    <w:rPr>
      <w:b/>
      <w:bCs/>
    </w:rPr>
  </w:style>
  <w:style w:type="character" w:customStyle="1" w:styleId="apple-converted-space">
    <w:name w:val="apple-converted-space"/>
    <w:basedOn w:val="DefaultParagraphFont"/>
    <w:rsid w:val="00CA60CD"/>
  </w:style>
  <w:style w:type="character" w:styleId="Emphasis">
    <w:name w:val="Emphasis"/>
    <w:basedOn w:val="DefaultParagraphFont"/>
    <w:uiPriority w:val="20"/>
    <w:qFormat/>
    <w:rsid w:val="00CA60CD"/>
    <w:rPr>
      <w:i/>
      <w:iCs/>
    </w:rPr>
  </w:style>
  <w:style w:type="character" w:styleId="Hyperlink">
    <w:name w:val="Hyperlink"/>
    <w:basedOn w:val="DefaultParagraphFont"/>
    <w:uiPriority w:val="99"/>
    <w:unhideWhenUsed/>
    <w:rsid w:val="00CA60CD"/>
    <w:rPr>
      <w:color w:val="0000FF"/>
      <w:u w:val="single"/>
    </w:rPr>
  </w:style>
  <w:style w:type="character" w:styleId="UnresolvedMention">
    <w:name w:val="Unresolved Mention"/>
    <w:basedOn w:val="DefaultParagraphFont"/>
    <w:uiPriority w:val="99"/>
    <w:semiHidden/>
    <w:unhideWhenUsed/>
    <w:rsid w:val="0052366F"/>
    <w:rPr>
      <w:color w:val="605E5C"/>
      <w:shd w:val="clear" w:color="auto" w:fill="E1DFDD"/>
    </w:rPr>
  </w:style>
  <w:style w:type="paragraph" w:styleId="Subtitle">
    <w:name w:val="Subtitle"/>
    <w:basedOn w:val="Normal"/>
    <w:next w:val="Normal"/>
    <w:link w:val="SubtitleChar"/>
    <w:uiPriority w:val="11"/>
    <w:qFormat/>
    <w:pPr>
      <w:spacing w:after="160" w:line="278" w:lineRule="auto"/>
    </w:pPr>
    <w:rPr>
      <w:rFonts w:ascii="Aptos" w:eastAsia="Aptos" w:hAnsi="Aptos" w:cs="Aptos"/>
      <w:color w:val="595959"/>
      <w:sz w:val="28"/>
      <w:szCs w:val="28"/>
    </w:rPr>
  </w:style>
  <w:style w:type="character" w:customStyle="1" w:styleId="apple-tab-span">
    <w:name w:val="apple-tab-span"/>
    <w:basedOn w:val="DefaultParagraphFont"/>
    <w:rsid w:val="00054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ealth.ec.europa.eu/ehealth-digital-health-and-care/artificial-intelligence-healthcare_en" TargetMode="External"/><Relationship Id="rId13" Type="http://schemas.openxmlformats.org/officeDocument/2006/relationships/hyperlink" Target="https://nam.edu/initiatives/ai-code/" TargetMode="External"/><Relationship Id="rId18" Type="http://schemas.openxmlformats.org/officeDocument/2006/relationships/hyperlink" Target="https://www.euro.who.int/en/publications" TargetMode="External"/><Relationship Id="rId3" Type="http://schemas.openxmlformats.org/officeDocument/2006/relationships/styles" Target="styles.xml"/><Relationship Id="rId7" Type="http://schemas.openxmlformats.org/officeDocument/2006/relationships/hyperlink" Target="https://www.bma.org.uk/advice-and-support/ethics/artificial-intelligence" TargetMode="External"/><Relationship Id="rId12" Type="http://schemas.openxmlformats.org/officeDocument/2006/relationships/hyperlink" Target="https://www.gov.uk/government/publications/software-and-ai-as-a-medical-device-samd" TargetMode="External"/><Relationship Id="rId17" Type="http://schemas.openxmlformats.org/officeDocument/2006/relationships/hyperlink" Target="https://www.who.int/publications/i/item/9789240029200" TargetMode="External"/><Relationship Id="rId2" Type="http://schemas.openxmlformats.org/officeDocument/2006/relationships/numbering" Target="numbering.xml"/><Relationship Id="rId16" Type="http://schemas.openxmlformats.org/officeDocument/2006/relationships/hyperlink" Target="https://doi.org/10.1080/jhep.2024.19.1.2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ncbi.nlm.nih.gov/books/NBK613210/" TargetMode="External"/><Relationship Id="rId5" Type="http://schemas.openxmlformats.org/officeDocument/2006/relationships/webSettings" Target="webSettings.xml"/><Relationship Id="rId15" Type="http://schemas.openxmlformats.org/officeDocument/2006/relationships/hyperlink" Target="https://doi.org/10.1007/s10916-024-02145-7" TargetMode="External"/><Relationship Id="rId10" Type="http://schemas.openxmlformats.org/officeDocument/2006/relationships/hyperlink" Target="https://www.health.org.uk/features-and-opinion/blogs/can-technology-and-ai-save-the-nhs-a-look-at-the-main-party-manifesto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1136/bmjhci-2023-081554" TargetMode="External"/><Relationship Id="rId14" Type="http://schemas.openxmlformats.org/officeDocument/2006/relationships/hyperlink" Target="https://www.england.nhs.uk/ai-governance-updat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KCbz7OHZsPA02BOgnDbKuBS1Qg==">CgMxLjA4AHIhMTVKeW5pWE1CWlNiSnU0LWNJc2kzcmtrZjF0cWVGbTNw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3380</Words>
  <Characters>19269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Corbin Spang</dc:creator>
  <cp:lastModifiedBy>Tzu-Chi James Lee</cp:lastModifiedBy>
  <cp:revision>2</cp:revision>
  <cp:lastPrinted>2026-05-26T13:30:00Z</cp:lastPrinted>
  <dcterms:created xsi:type="dcterms:W3CDTF">2026-05-31T17:21:00Z</dcterms:created>
  <dcterms:modified xsi:type="dcterms:W3CDTF">2026-05-31T17:21:00Z</dcterms:modified>
</cp:coreProperties>
</file>